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67" w:rsidRPr="008B5F91" w:rsidRDefault="008B5F91" w:rsidP="008130B8">
      <w:pPr>
        <w:jc w:val="center"/>
        <w:rPr>
          <w:b/>
          <w:sz w:val="28"/>
          <w:szCs w:val="28"/>
        </w:rPr>
      </w:pPr>
      <w:r w:rsidRPr="008B5F91">
        <w:rPr>
          <w:b/>
          <w:sz w:val="28"/>
          <w:szCs w:val="28"/>
        </w:rPr>
        <w:t>Ieteikumi ģimenes ārstiem</w:t>
      </w:r>
    </w:p>
    <w:p w:rsidR="008130B8" w:rsidRPr="008130B8" w:rsidRDefault="008130B8" w:rsidP="008130B8">
      <w:pPr>
        <w:jc w:val="center"/>
        <w:rPr>
          <w:b/>
          <w:sz w:val="28"/>
          <w:szCs w:val="28"/>
        </w:rPr>
      </w:pPr>
      <w:r w:rsidRPr="008130B8">
        <w:rPr>
          <w:b/>
          <w:sz w:val="28"/>
          <w:szCs w:val="28"/>
        </w:rPr>
        <w:t>„Pārskata par vakcinācijas kalendāra ietvaros vakcinētajām personām” aizpildīšanai</w:t>
      </w:r>
    </w:p>
    <w:p w:rsidR="008130B8" w:rsidRDefault="008130B8" w:rsidP="00131637">
      <w:pPr>
        <w:jc w:val="both"/>
      </w:pPr>
    </w:p>
    <w:p w:rsidR="008B5F91" w:rsidRDefault="008B5F91" w:rsidP="00131637">
      <w:pPr>
        <w:jc w:val="both"/>
      </w:pPr>
    </w:p>
    <w:p w:rsidR="00A82DE0" w:rsidRDefault="00A82DE0" w:rsidP="00131637">
      <w:pPr>
        <w:jc w:val="both"/>
      </w:pPr>
      <w:r>
        <w:tab/>
      </w:r>
      <w:r w:rsidRPr="00515F78">
        <w:t xml:space="preserve">Slimību profilakses un kontroles centrs (turpmāk - </w:t>
      </w:r>
      <w:r w:rsidR="00F11267" w:rsidRPr="00515F78">
        <w:t>SPKC</w:t>
      </w:r>
      <w:r w:rsidRPr="00515F78">
        <w:t xml:space="preserve">) </w:t>
      </w:r>
      <w:r w:rsidR="00F11267" w:rsidRPr="00515F78">
        <w:t>laipni vērš Jūsu uzmanību</w:t>
      </w:r>
      <w:r>
        <w:t xml:space="preserve"> Ministru kabineta noteikumu Nr.330 „Vakcinācijas noteikumi”</w:t>
      </w:r>
      <w:r w:rsidR="00291243">
        <w:rPr>
          <w:rStyle w:val="FootnoteReference"/>
        </w:rPr>
        <w:footnoteReference w:id="1"/>
      </w:r>
      <w:r>
        <w:t xml:space="preserve"> (turpmāk</w:t>
      </w:r>
      <w:r w:rsidR="002B6147">
        <w:t xml:space="preserve"> -</w:t>
      </w:r>
      <w:r>
        <w:t xml:space="preserve"> </w:t>
      </w:r>
      <w:r w:rsidR="002B6147">
        <w:t>N</w:t>
      </w:r>
      <w:r>
        <w:t xml:space="preserve">oteikumi) </w:t>
      </w:r>
      <w:r w:rsidR="00687A16">
        <w:t>10</w:t>
      </w:r>
      <w:r w:rsidR="00F11267">
        <w:t>.</w:t>
      </w:r>
      <w:r w:rsidR="00687A16" w:rsidRPr="00687A16">
        <w:rPr>
          <w:vertAlign w:val="superscript"/>
        </w:rPr>
        <w:t>1</w:t>
      </w:r>
      <w:r w:rsidR="00687A16">
        <w:rPr>
          <w:vertAlign w:val="superscript"/>
        </w:rPr>
        <w:t xml:space="preserve"> </w:t>
      </w:r>
      <w:r w:rsidR="00F11267">
        <w:t>punktam</w:t>
      </w:r>
      <w:r>
        <w:t>,</w:t>
      </w:r>
      <w:r w:rsidR="00F11267">
        <w:t xml:space="preserve"> </w:t>
      </w:r>
      <w:r w:rsidR="0081157A">
        <w:t>atbilstoši kuram</w:t>
      </w:r>
      <w:r w:rsidR="00687A16">
        <w:t xml:space="preserve"> ģimenes ārsti katru gadu līdz 10.janvārim iesniedz </w:t>
      </w:r>
      <w:r w:rsidR="00F11267">
        <w:t>SPKC</w:t>
      </w:r>
      <w:r w:rsidR="00687A16">
        <w:t xml:space="preserve"> attiecīgās reģionālās nodaļas epidemiologam pārskatu par iepriekšējā gadā vakcinācijas kalendāra ietvaros vakcinētajām personām katrā ģimenes ārsta praksē atsevišķi, aizpildot vakcinācijas kalendāra ietvaros vakcinēto personu pārskata veidlapu (Noteikumu 5.pielikums).</w:t>
      </w:r>
      <w:r>
        <w:t xml:space="preserve"> </w:t>
      </w:r>
    </w:p>
    <w:p w:rsidR="00291243" w:rsidRDefault="00346520" w:rsidP="00131637">
      <w:pPr>
        <w:jc w:val="both"/>
      </w:pPr>
      <w:r>
        <w:tab/>
        <w:t xml:space="preserve">Aizpildot </w:t>
      </w:r>
      <w:r w:rsidR="00291243">
        <w:t>gada pārskatu „Pārskats par vakcinācijas kalendāra ietvaros vakcinētajā</w:t>
      </w:r>
      <w:r w:rsidR="002B6147">
        <w:t>m</w:t>
      </w:r>
      <w:r w:rsidR="00291243">
        <w:t xml:space="preserve"> personām” </w:t>
      </w:r>
      <w:r w:rsidR="008B5F91">
        <w:t xml:space="preserve">lūdzu </w:t>
      </w:r>
      <w:r w:rsidR="00291243">
        <w:t>ievēro</w:t>
      </w:r>
      <w:r w:rsidR="008B5F91">
        <w:t>t</w:t>
      </w:r>
      <w:r w:rsidR="00291243">
        <w:t xml:space="preserve"> šādus norādījumus:</w:t>
      </w:r>
    </w:p>
    <w:p w:rsidR="00291243" w:rsidRDefault="00291243" w:rsidP="00131637">
      <w:pPr>
        <w:pStyle w:val="ListParagraph"/>
        <w:numPr>
          <w:ilvl w:val="0"/>
          <w:numId w:val="2"/>
        </w:numPr>
        <w:jc w:val="both"/>
      </w:pPr>
      <w:r>
        <w:t>Reģistrēto pacientu imunizācijas statusu izv</w:t>
      </w:r>
      <w:r w:rsidR="00346520">
        <w:t xml:space="preserve">ērtē atbilstoši situācijai atskaites </w:t>
      </w:r>
      <w:r>
        <w:t>gada pē</w:t>
      </w:r>
      <w:r w:rsidR="00F11267">
        <w:t>dējā nedēļā (līdz 31.decembrim).</w:t>
      </w:r>
    </w:p>
    <w:p w:rsidR="00291243" w:rsidRDefault="00291243" w:rsidP="00131637">
      <w:pPr>
        <w:pStyle w:val="ListParagraph"/>
        <w:numPr>
          <w:ilvl w:val="0"/>
          <w:numId w:val="2"/>
        </w:numPr>
        <w:jc w:val="both"/>
      </w:pPr>
      <w:r>
        <w:t>Pacientu vakcinācijas statusa noskaidrošanai atlasa un pārbauda visu uzskaitē esošo attiecīgā vecuma personu veidlapas Nr.063/u „Profilaktiskās potēšanas karte” vai citu medicīnisko dokumentāciju ar</w:t>
      </w:r>
      <w:r w:rsidR="00F11267">
        <w:t xml:space="preserve"> personas imunizācijas datiem.</w:t>
      </w:r>
    </w:p>
    <w:p w:rsidR="00291243" w:rsidRDefault="00291243" w:rsidP="00131637">
      <w:pPr>
        <w:pStyle w:val="ListParagraph"/>
        <w:numPr>
          <w:ilvl w:val="0"/>
          <w:numId w:val="2"/>
        </w:numPr>
        <w:jc w:val="both"/>
      </w:pPr>
      <w:r>
        <w:t xml:space="preserve">Uzskaita visus attiecīgā vecuma pacientus, neatkarīgi no </w:t>
      </w:r>
      <w:r w:rsidR="009013E8">
        <w:t xml:space="preserve">imunizācijai </w:t>
      </w:r>
      <w:r>
        <w:t>izmantoto vakcīnu finansēšanas avota (</w:t>
      </w:r>
      <w:r w:rsidR="00E22C86">
        <w:t>valsts apmaksāto vakcināciju un vakcināciju kā maksas pakalpojumu</w:t>
      </w:r>
      <w:r>
        <w:t>)</w:t>
      </w:r>
      <w:r w:rsidR="00F11267">
        <w:t>.</w:t>
      </w:r>
    </w:p>
    <w:p w:rsidR="00EE49F1" w:rsidRDefault="00E22C86" w:rsidP="00131637">
      <w:pPr>
        <w:pStyle w:val="ListParagraph"/>
        <w:numPr>
          <w:ilvl w:val="0"/>
          <w:numId w:val="2"/>
        </w:numPr>
        <w:jc w:val="both"/>
      </w:pPr>
      <w:r>
        <w:t xml:space="preserve">Pārskata tabulas trešajā ailē </w:t>
      </w:r>
      <w:r w:rsidRPr="00E22C86">
        <w:rPr>
          <w:i/>
        </w:rPr>
        <w:t>„Reģistrēto pacientu skaits”</w:t>
      </w:r>
      <w:r w:rsidR="00346520">
        <w:t xml:space="preserve"> uzrāda atskaites </w:t>
      </w:r>
      <w:r>
        <w:t xml:space="preserve">gada </w:t>
      </w:r>
      <w:r w:rsidR="00EE49F1">
        <w:t>decembra pēdējā nedēļā ģimenes ārsta uzskaitē faktiski esošo pacientu skaitu, atbilstoši norādītajam vecumam (1, 2, 8, 13</w:t>
      </w:r>
      <w:r w:rsidR="008B5F91">
        <w:t xml:space="preserve"> (meitenes)</w:t>
      </w:r>
      <w:r w:rsidR="00EE49F1">
        <w:t>, 15 gadi</w:t>
      </w:r>
      <w:r w:rsidR="00931601">
        <w:t>,</w:t>
      </w:r>
      <w:r w:rsidR="00EE49F1">
        <w:t xml:space="preserve"> </w:t>
      </w:r>
      <w:r w:rsidR="00931601">
        <w:t>kā arī</w:t>
      </w:r>
      <w:r w:rsidR="00EE49F1">
        <w:t xml:space="preserve"> pieaugušie 25 gadi un vecāki)</w:t>
      </w:r>
      <w:r w:rsidR="00107348">
        <w:t>.</w:t>
      </w:r>
    </w:p>
    <w:p w:rsidR="00E22C86" w:rsidRPr="00286FA5" w:rsidRDefault="00EE49F1" w:rsidP="00131637">
      <w:pPr>
        <w:pStyle w:val="ListParagraph"/>
        <w:ind w:left="1440"/>
        <w:jc w:val="both"/>
        <w:rPr>
          <w:i/>
        </w:rPr>
      </w:pPr>
      <w:r w:rsidRPr="00131637">
        <w:rPr>
          <w:b/>
          <w:i/>
        </w:rPr>
        <w:t>Piemērs:</w:t>
      </w:r>
      <w:r w:rsidRPr="00286FA5">
        <w:rPr>
          <w:i/>
        </w:rPr>
        <w:t xml:space="preserve"> Vecuma grupā „1 gads” 3.ailē norāda visus</w:t>
      </w:r>
      <w:r w:rsidR="00286FA5" w:rsidRPr="00286FA5">
        <w:rPr>
          <w:i/>
        </w:rPr>
        <w:t xml:space="preserve"> uzskait</w:t>
      </w:r>
      <w:r w:rsidR="00D76A84">
        <w:rPr>
          <w:i/>
        </w:rPr>
        <w:t xml:space="preserve">ē esošos bērnus, kuru vecums </w:t>
      </w:r>
      <w:r w:rsidR="00286FA5" w:rsidRPr="00286FA5">
        <w:rPr>
          <w:i/>
        </w:rPr>
        <w:t>31.decembrī ir no 1 gada līdz 1 gadam 11 mēnešiem 29 dienām</w:t>
      </w:r>
      <w:r w:rsidRPr="00286FA5">
        <w:rPr>
          <w:i/>
        </w:rPr>
        <w:t xml:space="preserve"> </w:t>
      </w:r>
    </w:p>
    <w:p w:rsidR="00286FA5" w:rsidRDefault="00286FA5" w:rsidP="00131637">
      <w:pPr>
        <w:pStyle w:val="ListParagraph"/>
        <w:numPr>
          <w:ilvl w:val="0"/>
          <w:numId w:val="2"/>
        </w:numPr>
        <w:jc w:val="both"/>
      </w:pPr>
      <w:r>
        <w:t xml:space="preserve">Ceturtajā ailē </w:t>
      </w:r>
      <w:r w:rsidRPr="00286FA5">
        <w:rPr>
          <w:i/>
        </w:rPr>
        <w:t>„Vakcinēto pacientu skaits”</w:t>
      </w:r>
      <w:r>
        <w:rPr>
          <w:i/>
        </w:rPr>
        <w:t xml:space="preserve"> </w:t>
      </w:r>
      <w:r>
        <w:t>uzrāda personu skaitu, kas uz 31.decembri ir saņēmušas 2.ailē norādīto vakcin</w:t>
      </w:r>
      <w:r w:rsidR="00583F91">
        <w:t>āciju</w:t>
      </w:r>
      <w:r w:rsidR="00107348">
        <w:t>.</w:t>
      </w:r>
    </w:p>
    <w:p w:rsidR="00286FA5" w:rsidRPr="00131637" w:rsidRDefault="00286FA5" w:rsidP="00131637">
      <w:pPr>
        <w:pStyle w:val="ListParagraph"/>
        <w:ind w:left="1440"/>
        <w:jc w:val="both"/>
        <w:rPr>
          <w:i/>
        </w:rPr>
      </w:pPr>
      <w:r w:rsidRPr="00131637">
        <w:rPr>
          <w:b/>
          <w:i/>
        </w:rPr>
        <w:t>Piemērs:</w:t>
      </w:r>
      <w:r w:rsidRPr="00131637">
        <w:rPr>
          <w:i/>
        </w:rPr>
        <w:t xml:space="preserve"> </w:t>
      </w:r>
      <w:r w:rsidR="008D745F" w:rsidRPr="00131637">
        <w:rPr>
          <w:i/>
        </w:rPr>
        <w:t xml:space="preserve">Ģimenes ārsta uzskaitē decembra pēdējā </w:t>
      </w:r>
      <w:r w:rsidR="000A4ABE" w:rsidRPr="00131637">
        <w:rPr>
          <w:i/>
        </w:rPr>
        <w:t>nedēļ</w:t>
      </w:r>
      <w:r w:rsidR="000A4ABE">
        <w:rPr>
          <w:i/>
        </w:rPr>
        <w:t>ā</w:t>
      </w:r>
      <w:r w:rsidR="000A4ABE" w:rsidRPr="00131637">
        <w:rPr>
          <w:i/>
        </w:rPr>
        <w:t xml:space="preserve"> </w:t>
      </w:r>
      <w:r w:rsidR="008D745F" w:rsidRPr="00131637">
        <w:rPr>
          <w:i/>
        </w:rPr>
        <w:t>ir seši bērni viena gada vecumā, no kuriem četri saņēmuši 3 potes pret B hepatītu, viens bērns saņēmis tikai 2 potes (sakarā ar kontrindikāciju slimības dēļ) un viens bērns nav saņēmis nevienu</w:t>
      </w:r>
      <w:r w:rsidR="007B19BD" w:rsidRPr="00131637">
        <w:rPr>
          <w:i/>
        </w:rPr>
        <w:t xml:space="preserve"> pot</w:t>
      </w:r>
      <w:r w:rsidR="009461F0">
        <w:rPr>
          <w:i/>
        </w:rPr>
        <w:t>i (sakarā ar rakstiski noformētu</w:t>
      </w:r>
      <w:r w:rsidR="007B19BD" w:rsidRPr="00131637">
        <w:rPr>
          <w:i/>
        </w:rPr>
        <w:t xml:space="preserve"> atteikumu). Tātad trešās ailes attiecīgajā laukā ieraksta „6” un ceturtās ailes attiecīgajā laukā ieraksta „4”. Bērnu, kurš nav saņēmis 3.poti</w:t>
      </w:r>
      <w:r w:rsidR="009461F0">
        <w:rPr>
          <w:i/>
        </w:rPr>
        <w:t>,</w:t>
      </w:r>
      <w:r w:rsidR="007B19BD" w:rsidRPr="00131637">
        <w:rPr>
          <w:i/>
        </w:rPr>
        <w:t xml:space="preserve"> uzskaita 6.ailē („Nevakcinēto pacientu skaits ” – „kontrindikācija”), bet bērnu, kurš nav saņēmis nevienu poti, uzska</w:t>
      </w:r>
      <w:r w:rsidR="009461F0">
        <w:rPr>
          <w:i/>
        </w:rPr>
        <w:t>i</w:t>
      </w:r>
      <w:r w:rsidR="007B19BD" w:rsidRPr="00131637">
        <w:rPr>
          <w:i/>
        </w:rPr>
        <w:t>ta 7.ailē („Nevakcinēto pacientu skaits” – „rakstiski noformēts atteikums”).</w:t>
      </w:r>
    </w:p>
    <w:p w:rsidR="00F022E7" w:rsidRPr="00515F78" w:rsidRDefault="009979D3" w:rsidP="00107348">
      <w:pPr>
        <w:pStyle w:val="ListParagraph"/>
        <w:numPr>
          <w:ilvl w:val="0"/>
          <w:numId w:val="2"/>
        </w:numPr>
        <w:jc w:val="both"/>
      </w:pPr>
      <w:r w:rsidRPr="00515F78">
        <w:t xml:space="preserve">Vakcinēto personu skaits katrā attiecīgajā vecuma grupā (4.aile) </w:t>
      </w:r>
      <w:r w:rsidR="008B5F91">
        <w:t>nedrīkst</w:t>
      </w:r>
      <w:r w:rsidRPr="00515F78">
        <w:t xml:space="preserve"> pārsniegt </w:t>
      </w:r>
      <w:r w:rsidR="002634FD" w:rsidRPr="00515F78">
        <w:t>reģistrēto pacientu skaitu (3.aile)</w:t>
      </w:r>
      <w:r w:rsidR="00D717CD">
        <w:t>, kā arī 4., 5., 6., 7.</w:t>
      </w:r>
      <w:r w:rsidR="00107348" w:rsidRPr="00515F78">
        <w:t xml:space="preserve"> un 8.ailes summa </w:t>
      </w:r>
      <w:r w:rsidR="008B5F91">
        <w:t>nedrīkst</w:t>
      </w:r>
      <w:r w:rsidR="008B5F91" w:rsidRPr="00515F78">
        <w:t xml:space="preserve"> </w:t>
      </w:r>
      <w:r w:rsidR="00107348" w:rsidRPr="00515F78">
        <w:t>pārsniegt reģistrēto pacientu skaitu (3.aile).</w:t>
      </w:r>
    </w:p>
    <w:p w:rsidR="00583F91" w:rsidRDefault="002B6147" w:rsidP="00131637">
      <w:pPr>
        <w:pStyle w:val="ListParagraph"/>
        <w:numPr>
          <w:ilvl w:val="0"/>
          <w:numId w:val="2"/>
        </w:numPr>
        <w:jc w:val="both"/>
      </w:pPr>
      <w:r>
        <w:t>Aizpildot 4.aili</w:t>
      </w:r>
      <w:r w:rsidR="002634FD">
        <w:t xml:space="preserve"> par pieaugušo vakcināciju pret difteriju un stingumkrampjiem, uzskaita personas, kurām pēdējo 10 gadu laikā pabeigts vakcinācijas kurss (trīs potes) vai veikta </w:t>
      </w:r>
      <w:proofErr w:type="spellStart"/>
      <w:r w:rsidR="002634FD">
        <w:t>balstvakcinācija</w:t>
      </w:r>
      <w:proofErr w:type="spellEnd"/>
      <w:r w:rsidR="00107348">
        <w:t>.</w:t>
      </w:r>
    </w:p>
    <w:p w:rsidR="00583F91" w:rsidRDefault="002634FD" w:rsidP="00131637">
      <w:pPr>
        <w:pStyle w:val="ListParagraph"/>
        <w:numPr>
          <w:ilvl w:val="0"/>
          <w:numId w:val="2"/>
        </w:numPr>
        <w:jc w:val="both"/>
      </w:pPr>
      <w:r>
        <w:t>Piektajā – astotajā ailē attiecīgi norāda</w:t>
      </w:r>
      <w:r w:rsidR="00583F91">
        <w:t xml:space="preserve"> nevakcinēto personu skaitu: pacients ir pārslimojis konkrēto inf</w:t>
      </w:r>
      <w:r w:rsidR="00D717CD">
        <w:t>ekciju, pacientam ir medicīniska</w:t>
      </w:r>
      <w:r w:rsidR="00583F91">
        <w:t xml:space="preserve"> kontrindikācija</w:t>
      </w:r>
      <w:r>
        <w:t xml:space="preserve"> </w:t>
      </w:r>
      <w:r w:rsidR="00583F91">
        <w:t xml:space="preserve">pret konkrēto vakcināciju, ģimenes ārstam ir </w:t>
      </w:r>
      <w:r w:rsidR="00D717CD">
        <w:t xml:space="preserve">iesniegts </w:t>
      </w:r>
      <w:r w:rsidR="00583F91">
        <w:t>rakstiski noformēts atteikums no vakcinācijas vai cits iemesls (</w:t>
      </w:r>
      <w:r w:rsidR="00E13670">
        <w:t>piem.,</w:t>
      </w:r>
      <w:r w:rsidR="00583F91">
        <w:t xml:space="preserve"> pacients ir aicināts uz vakcināciju, bet nav ieradies)</w:t>
      </w:r>
    </w:p>
    <w:p w:rsidR="00E13670" w:rsidRPr="00131637" w:rsidRDefault="00583F91" w:rsidP="00131637">
      <w:pPr>
        <w:pStyle w:val="ListParagraph"/>
        <w:ind w:left="1440"/>
        <w:jc w:val="both"/>
        <w:rPr>
          <w:i/>
        </w:rPr>
      </w:pPr>
      <w:r w:rsidRPr="00131637">
        <w:rPr>
          <w:b/>
          <w:i/>
        </w:rPr>
        <w:lastRenderedPageBreak/>
        <w:t>Piem</w:t>
      </w:r>
      <w:r w:rsidR="00E13670" w:rsidRPr="00131637">
        <w:rPr>
          <w:b/>
          <w:i/>
        </w:rPr>
        <w:t>ērs</w:t>
      </w:r>
      <w:r w:rsidRPr="00131637">
        <w:rPr>
          <w:b/>
          <w:i/>
        </w:rPr>
        <w:t>:</w:t>
      </w:r>
      <w:r w:rsidRPr="00131637">
        <w:rPr>
          <w:i/>
        </w:rPr>
        <w:t xml:space="preserve"> No pieciem pierakstītajiem bērniem vecuma grupā „1</w:t>
      </w:r>
      <w:r w:rsidR="00D717CD">
        <w:rPr>
          <w:i/>
        </w:rPr>
        <w:t xml:space="preserve"> </w:t>
      </w:r>
      <w:r w:rsidRPr="00131637">
        <w:rPr>
          <w:i/>
        </w:rPr>
        <w:t>gads”</w:t>
      </w:r>
      <w:r w:rsidR="00E13670" w:rsidRPr="00131637">
        <w:rPr>
          <w:i/>
        </w:rPr>
        <w:t xml:space="preserve"> viens bērns nav saņēmis 3.poti pret B hepatītu, </w:t>
      </w:r>
      <w:r w:rsidR="008B5F91">
        <w:rPr>
          <w:i/>
        </w:rPr>
        <w:t>jo nav ieradies uz poti nezināmu</w:t>
      </w:r>
      <w:r w:rsidR="00E13670" w:rsidRPr="00131637">
        <w:rPr>
          <w:i/>
        </w:rPr>
        <w:t xml:space="preserve"> iemeslu dēļ – tabulas pēdējā ailē „cits iemesls” norāda „1”.</w:t>
      </w:r>
    </w:p>
    <w:p w:rsidR="00E13670" w:rsidRDefault="00E13670" w:rsidP="00131637">
      <w:pPr>
        <w:pStyle w:val="ListParagraph"/>
        <w:numPr>
          <w:ilvl w:val="0"/>
          <w:numId w:val="2"/>
        </w:numPr>
        <w:jc w:val="both"/>
      </w:pPr>
      <w:r>
        <w:t xml:space="preserve">Ja ģimenes ārsta </w:t>
      </w:r>
      <w:r w:rsidR="00092E1E">
        <w:t>prakses</w:t>
      </w:r>
      <w:r w:rsidR="00D717CD">
        <w:t xml:space="preserve"> medicīniskajā dokumentācijā</w:t>
      </w:r>
      <w:bookmarkStart w:id="0" w:name="_GoBack"/>
      <w:bookmarkEnd w:id="0"/>
      <w:r>
        <w:t xml:space="preserve"> nav informācijas par pacienta vakcinācijas statusu pret attiecīgo slimību, šādu pacientu neieskaita nedz vakcinēto, nedz nevakcinēto personu skaitā. Līdz ar to starpība starp reģistrēto pacientu skaitu un vakcinēto/nevakcinēto pacientu kopskaitu norādīs uz pacientu skaitu, kuru vakcinācijas statuss ārstam nav zināms</w:t>
      </w:r>
      <w:r w:rsidR="00107348">
        <w:t>.</w:t>
      </w:r>
    </w:p>
    <w:p w:rsidR="00E13670" w:rsidRPr="00131637" w:rsidRDefault="00E13670" w:rsidP="00131637">
      <w:pPr>
        <w:pStyle w:val="ListParagraph"/>
        <w:ind w:left="1440"/>
        <w:jc w:val="both"/>
        <w:rPr>
          <w:i/>
        </w:rPr>
      </w:pPr>
      <w:r w:rsidRPr="00131637">
        <w:rPr>
          <w:b/>
          <w:i/>
        </w:rPr>
        <w:t>Piemērs:</w:t>
      </w:r>
      <w:r w:rsidRPr="00131637">
        <w:rPr>
          <w:i/>
        </w:rPr>
        <w:t xml:space="preserve"> Ģimenes ārsta praksē reģistrēti 999 pacienti vecumā no 25 gadiem (3.aile), no tiem 600 </w:t>
      </w:r>
      <w:r w:rsidR="005C3739">
        <w:rPr>
          <w:i/>
        </w:rPr>
        <w:t xml:space="preserve">pēdējo 10 gadu laikā ir saņēmusi 3.poti vai </w:t>
      </w:r>
      <w:proofErr w:type="spellStart"/>
      <w:r w:rsidR="005C3739">
        <w:rPr>
          <w:i/>
        </w:rPr>
        <w:t>balstvakcināciju</w:t>
      </w:r>
      <w:proofErr w:type="spellEnd"/>
      <w:r w:rsidR="005C3739">
        <w:rPr>
          <w:i/>
        </w:rPr>
        <w:t xml:space="preserve"> </w:t>
      </w:r>
      <w:r w:rsidRPr="00131637">
        <w:rPr>
          <w:i/>
        </w:rPr>
        <w:t>pret difteriju un stingumkrampjiem (4</w:t>
      </w:r>
      <w:r w:rsidR="008B5F91">
        <w:rPr>
          <w:i/>
        </w:rPr>
        <w:t>.aile), bet 300 nav vakcinēti (5</w:t>
      </w:r>
      <w:r w:rsidRPr="00131637">
        <w:rPr>
          <w:i/>
        </w:rPr>
        <w:t>.-8. aile), tad jāsecina, ka par 99 pacientu vakcinācijas statusu ģimenes ārstam nav datu:</w:t>
      </w:r>
    </w:p>
    <w:p w:rsidR="00F16D4F" w:rsidRDefault="00F16D4F" w:rsidP="00F16D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355"/>
        <w:gridCol w:w="1197"/>
        <w:gridCol w:w="1196"/>
        <w:gridCol w:w="996"/>
        <w:gridCol w:w="1250"/>
        <w:gridCol w:w="1183"/>
        <w:gridCol w:w="1005"/>
      </w:tblGrid>
      <w:tr w:rsidR="0099445C" w:rsidRPr="00F16D4F" w:rsidTr="00B90127">
        <w:tc>
          <w:tcPr>
            <w:tcW w:w="1105" w:type="dxa"/>
            <w:vMerge w:val="restart"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Vecums</w:t>
            </w:r>
          </w:p>
        </w:tc>
        <w:tc>
          <w:tcPr>
            <w:tcW w:w="1355" w:type="dxa"/>
            <w:vMerge w:val="restart"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Vakcinācija</w:t>
            </w:r>
          </w:p>
        </w:tc>
        <w:tc>
          <w:tcPr>
            <w:tcW w:w="1197" w:type="dxa"/>
            <w:vMerge w:val="restart"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Reģistrēto</w:t>
            </w:r>
          </w:p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pacientu</w:t>
            </w:r>
          </w:p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skaits</w:t>
            </w:r>
          </w:p>
        </w:tc>
        <w:tc>
          <w:tcPr>
            <w:tcW w:w="1196" w:type="dxa"/>
            <w:vMerge w:val="restart"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Vakcinēto</w:t>
            </w:r>
          </w:p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pacientu</w:t>
            </w:r>
          </w:p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skaits</w:t>
            </w:r>
          </w:p>
        </w:tc>
        <w:tc>
          <w:tcPr>
            <w:tcW w:w="4434" w:type="dxa"/>
            <w:gridSpan w:val="4"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Nevakcinēto pacientu skaits</w:t>
            </w:r>
          </w:p>
        </w:tc>
      </w:tr>
      <w:tr w:rsidR="0099445C" w:rsidRPr="00F16D4F" w:rsidTr="00B90127">
        <w:tc>
          <w:tcPr>
            <w:tcW w:w="1105" w:type="dxa"/>
            <w:vMerge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6" w:type="dxa"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pār-slimoja</w:t>
            </w:r>
          </w:p>
        </w:tc>
        <w:tc>
          <w:tcPr>
            <w:tcW w:w="1250" w:type="dxa"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B90127">
              <w:rPr>
                <w:i/>
                <w:sz w:val="20"/>
                <w:szCs w:val="20"/>
              </w:rPr>
              <w:t>kontr-indikācijas</w:t>
            </w:r>
            <w:proofErr w:type="spellEnd"/>
          </w:p>
        </w:tc>
        <w:tc>
          <w:tcPr>
            <w:tcW w:w="1183" w:type="dxa"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rakstiski</w:t>
            </w:r>
          </w:p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noformēts</w:t>
            </w:r>
          </w:p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atteikums</w:t>
            </w:r>
          </w:p>
        </w:tc>
        <w:tc>
          <w:tcPr>
            <w:tcW w:w="1005" w:type="dxa"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cits</w:t>
            </w:r>
          </w:p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iemesls</w:t>
            </w:r>
          </w:p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45C" w:rsidRPr="00F16D4F" w:rsidTr="00B90127">
        <w:tc>
          <w:tcPr>
            <w:tcW w:w="1105" w:type="dxa"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96" w:type="dxa"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50" w:type="dxa"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183" w:type="dxa"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005" w:type="dxa"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8</w:t>
            </w:r>
          </w:p>
        </w:tc>
      </w:tr>
      <w:tr w:rsidR="0099445C" w:rsidRPr="00F16D4F" w:rsidTr="00B90127">
        <w:tc>
          <w:tcPr>
            <w:tcW w:w="1105" w:type="dxa"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Pieaugušie 25 gadi un</w:t>
            </w:r>
          </w:p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vecāki</w:t>
            </w:r>
          </w:p>
        </w:tc>
        <w:tc>
          <w:tcPr>
            <w:tcW w:w="1355" w:type="dxa"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 xml:space="preserve">Difterija un stinguma krampji 3. pote vai </w:t>
            </w:r>
            <w:proofErr w:type="spellStart"/>
            <w:r w:rsidRPr="00B90127">
              <w:rPr>
                <w:i/>
                <w:sz w:val="20"/>
                <w:szCs w:val="20"/>
              </w:rPr>
              <w:t>balst-vakcinācija</w:t>
            </w:r>
            <w:proofErr w:type="spellEnd"/>
          </w:p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7" w:type="dxa"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1196" w:type="dxa"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996" w:type="dxa"/>
          </w:tcPr>
          <w:p w:rsidR="00F16D4F" w:rsidRPr="00B90127" w:rsidRDefault="008B5F91" w:rsidP="00B901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83" w:type="dxa"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005" w:type="dxa"/>
          </w:tcPr>
          <w:p w:rsidR="00F16D4F" w:rsidRPr="00B90127" w:rsidRDefault="00F16D4F" w:rsidP="00B90127">
            <w:pPr>
              <w:jc w:val="center"/>
              <w:rPr>
                <w:i/>
                <w:sz w:val="20"/>
                <w:szCs w:val="20"/>
              </w:rPr>
            </w:pPr>
            <w:r w:rsidRPr="00B90127">
              <w:rPr>
                <w:i/>
                <w:sz w:val="20"/>
                <w:szCs w:val="20"/>
              </w:rPr>
              <w:t>245</w:t>
            </w:r>
          </w:p>
        </w:tc>
      </w:tr>
    </w:tbl>
    <w:p w:rsidR="00F16D4F" w:rsidRDefault="00F16D4F" w:rsidP="00F16D4F"/>
    <w:p w:rsidR="00D20E8B" w:rsidRDefault="00F16D4F" w:rsidP="00131637">
      <w:pPr>
        <w:ind w:firstLine="720"/>
        <w:jc w:val="both"/>
      </w:pPr>
      <w:r>
        <w:t>Vēršam Jūsu uzmanību, ka veidlapa „Pārskats par vakcinācijas kalendāra ietvaros vakcinētajām personām”</w:t>
      </w:r>
      <w:r w:rsidR="00E13670">
        <w:t xml:space="preserve"> </w:t>
      </w:r>
      <w:r>
        <w:t>MS Word formātā ir pieejama tīmekļa vietnē</w:t>
      </w:r>
      <w:r w:rsidR="00D20E8B">
        <w:t xml:space="preserve"> </w:t>
      </w:r>
      <w:r w:rsidR="00BC3D08">
        <w:t>SPKC</w:t>
      </w:r>
      <w:r w:rsidR="00D20E8B">
        <w:t xml:space="preserve"> mājas lapā sadaļā „</w:t>
      </w:r>
      <w:r w:rsidR="008B5F91">
        <w:t>Profesionāļiem</w:t>
      </w:r>
      <w:r w:rsidR="00D20E8B">
        <w:t>”, apakšsadaļā „</w:t>
      </w:r>
      <w:r w:rsidR="008B5F91">
        <w:t>Vakcinācija</w:t>
      </w:r>
      <w:r w:rsidR="00D20E8B">
        <w:t>”:</w:t>
      </w:r>
    </w:p>
    <w:p w:rsidR="008B5F91" w:rsidRDefault="008B15E5" w:rsidP="00346520">
      <w:pPr>
        <w:ind w:firstLine="720"/>
        <w:jc w:val="both"/>
      </w:pPr>
      <w:hyperlink r:id="rId9" w:history="1">
        <w:r w:rsidR="008B5F91" w:rsidRPr="00A94098">
          <w:rPr>
            <w:rStyle w:val="Hyperlink"/>
          </w:rPr>
          <w:t>https://www.spkc.gov.lv/lv/profesionali/infekcijas-slimibas1/par-vakcinaciju</w:t>
        </w:r>
      </w:hyperlink>
      <w:proofErr w:type="gramStart"/>
      <w:r w:rsidR="008B5F91">
        <w:t xml:space="preserve"> </w:t>
      </w:r>
      <w:r w:rsidR="008B5F91" w:rsidRPr="008B5F91">
        <w:t xml:space="preserve"> </w:t>
      </w:r>
      <w:proofErr w:type="gramEnd"/>
    </w:p>
    <w:p w:rsidR="004B3D30" w:rsidRDefault="004B3D30" w:rsidP="00346520">
      <w:pPr>
        <w:ind w:firstLine="720"/>
        <w:jc w:val="both"/>
      </w:pPr>
      <w:r w:rsidRPr="00515F78">
        <w:t xml:space="preserve">Iepriekš pateicamies par sadarbību un ceram, ka Jūs izmantosiet apkopoto informāciju </w:t>
      </w:r>
      <w:r w:rsidR="00BC3D08" w:rsidRPr="00515F78">
        <w:t xml:space="preserve">imunizācijas aptveres </w:t>
      </w:r>
      <w:r w:rsidR="00092E1E" w:rsidRPr="00515F78">
        <w:t>izvērtēšanai</w:t>
      </w:r>
      <w:r w:rsidR="00BC3D08" w:rsidRPr="00515F78">
        <w:t xml:space="preserve"> Jūsu praks</w:t>
      </w:r>
      <w:r w:rsidR="00107348" w:rsidRPr="00515F78">
        <w:t>es pacientiem</w:t>
      </w:r>
      <w:r w:rsidR="00BC3D08" w:rsidRPr="00515F78">
        <w:t xml:space="preserve">, t.sk. </w:t>
      </w:r>
      <w:r w:rsidRPr="00515F78">
        <w:t xml:space="preserve">salīdzināšanai ar iepriekšējā gada vakcinācijas aptveri, </w:t>
      </w:r>
      <w:r w:rsidR="00107348" w:rsidRPr="00515F78">
        <w:t xml:space="preserve">kā arī </w:t>
      </w:r>
      <w:r w:rsidRPr="00515F78">
        <w:t xml:space="preserve">nevakcinēto personu vakcinācijas kavējošo faktoru </w:t>
      </w:r>
      <w:r w:rsidR="00092E1E" w:rsidRPr="00515F78">
        <w:t xml:space="preserve">analīzei </w:t>
      </w:r>
      <w:r w:rsidRPr="00515F78">
        <w:t>un nepieciešamo pasākumu veikšanai, lai uzlabotu</w:t>
      </w:r>
      <w:r>
        <w:t xml:space="preserve"> imunizācijas </w:t>
      </w:r>
      <w:r w:rsidR="00092E1E">
        <w:t>rādītājus.</w:t>
      </w:r>
    </w:p>
    <w:p w:rsidR="008130B8" w:rsidRDefault="008130B8" w:rsidP="00F16D4F"/>
    <w:p w:rsidR="008130B8" w:rsidRDefault="008130B8" w:rsidP="00F16D4F"/>
    <w:p w:rsidR="008B5F91" w:rsidRDefault="008B5F91" w:rsidP="00F16D4F">
      <w:r>
        <w:t>Ar cieņu,</w:t>
      </w:r>
    </w:p>
    <w:p w:rsidR="00131637" w:rsidRDefault="00131637" w:rsidP="00F16D4F">
      <w:r>
        <w:t>Slimību profilakses un kontroles centr</w:t>
      </w:r>
      <w:r w:rsidR="008130B8">
        <w:t>s</w:t>
      </w:r>
      <w:r>
        <w:t xml:space="preserve"> </w:t>
      </w:r>
    </w:p>
    <w:p w:rsidR="00346520" w:rsidRDefault="00346520" w:rsidP="00F16D4F"/>
    <w:p w:rsidR="00346520" w:rsidRDefault="00346520" w:rsidP="00F16D4F"/>
    <w:sectPr w:rsidR="00346520" w:rsidSect="007579B8">
      <w:headerReference w:type="even" r:id="rId10"/>
      <w:headerReference w:type="default" r:id="rId11"/>
      <w:head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E5" w:rsidRDefault="008B15E5">
      <w:r>
        <w:separator/>
      </w:r>
    </w:p>
  </w:endnote>
  <w:endnote w:type="continuationSeparator" w:id="0">
    <w:p w:rsidR="008B15E5" w:rsidRDefault="008B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E5" w:rsidRDefault="008B15E5">
      <w:r>
        <w:separator/>
      </w:r>
    </w:p>
  </w:footnote>
  <w:footnote w:type="continuationSeparator" w:id="0">
    <w:p w:rsidR="008B15E5" w:rsidRDefault="008B15E5">
      <w:r>
        <w:continuationSeparator/>
      </w:r>
    </w:p>
  </w:footnote>
  <w:footnote w:id="1">
    <w:p w:rsidR="00291243" w:rsidRDefault="002912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F11267" w:rsidRPr="00CD6B9F">
          <w:rPr>
            <w:rStyle w:val="Hyperlink"/>
          </w:rPr>
          <w:t>http://likumi.lv/doc.php?id=11215</w:t>
        </w:r>
      </w:hyperlink>
      <w:r w:rsidR="00F11267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B8" w:rsidRDefault="00A724D2" w:rsidP="007579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79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79B8" w:rsidRDefault="007579B8" w:rsidP="007579B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B8" w:rsidRDefault="00A724D2">
    <w:pPr>
      <w:pStyle w:val="Header"/>
      <w:jc w:val="center"/>
    </w:pPr>
    <w:r>
      <w:fldChar w:fldCharType="begin"/>
    </w:r>
    <w:r w:rsidR="007579B8">
      <w:instrText xml:space="preserve"> PAGE   \* MERGEFORMAT </w:instrText>
    </w:r>
    <w:r>
      <w:fldChar w:fldCharType="separate"/>
    </w:r>
    <w:r w:rsidR="00D717CD">
      <w:rPr>
        <w:noProof/>
      </w:rPr>
      <w:t>2</w:t>
    </w:r>
    <w:r>
      <w:fldChar w:fldCharType="end"/>
    </w:r>
  </w:p>
  <w:p w:rsidR="007579B8" w:rsidRDefault="007579B8" w:rsidP="007579B8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B8" w:rsidRDefault="007579B8">
    <w:pPr>
      <w:pStyle w:val="Header"/>
      <w:jc w:val="center"/>
    </w:pPr>
  </w:p>
  <w:p w:rsidR="007579B8" w:rsidRDefault="00757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D5F1E"/>
    <w:multiLevelType w:val="hybridMultilevel"/>
    <w:tmpl w:val="B21A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16D9D"/>
    <w:multiLevelType w:val="hybridMultilevel"/>
    <w:tmpl w:val="C950B37C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2E7"/>
    <w:rsid w:val="00092E1E"/>
    <w:rsid w:val="000A4ABE"/>
    <w:rsid w:val="000F6EC4"/>
    <w:rsid w:val="00107348"/>
    <w:rsid w:val="00117E31"/>
    <w:rsid w:val="00124320"/>
    <w:rsid w:val="00131637"/>
    <w:rsid w:val="0014620E"/>
    <w:rsid w:val="00164FFD"/>
    <w:rsid w:val="001A1E97"/>
    <w:rsid w:val="001D14EA"/>
    <w:rsid w:val="0020784D"/>
    <w:rsid w:val="00213597"/>
    <w:rsid w:val="00257B3C"/>
    <w:rsid w:val="00257EDE"/>
    <w:rsid w:val="002634FD"/>
    <w:rsid w:val="00286FA5"/>
    <w:rsid w:val="00291243"/>
    <w:rsid w:val="002A51E9"/>
    <w:rsid w:val="002B6147"/>
    <w:rsid w:val="002C4734"/>
    <w:rsid w:val="00304915"/>
    <w:rsid w:val="003213C5"/>
    <w:rsid w:val="00322FE1"/>
    <w:rsid w:val="00335914"/>
    <w:rsid w:val="003425CB"/>
    <w:rsid w:val="003441C1"/>
    <w:rsid w:val="00346520"/>
    <w:rsid w:val="003F468D"/>
    <w:rsid w:val="00425411"/>
    <w:rsid w:val="004652BB"/>
    <w:rsid w:val="004A42F2"/>
    <w:rsid w:val="004A66DB"/>
    <w:rsid w:val="004B3D30"/>
    <w:rsid w:val="004C23DA"/>
    <w:rsid w:val="004C7740"/>
    <w:rsid w:val="004E563C"/>
    <w:rsid w:val="005157A2"/>
    <w:rsid w:val="00515F78"/>
    <w:rsid w:val="005825C1"/>
    <w:rsid w:val="00583F91"/>
    <w:rsid w:val="00587BDC"/>
    <w:rsid w:val="005A2D8B"/>
    <w:rsid w:val="005C36D4"/>
    <w:rsid w:val="005C3739"/>
    <w:rsid w:val="005E6FC4"/>
    <w:rsid w:val="00630166"/>
    <w:rsid w:val="00687A16"/>
    <w:rsid w:val="006C5874"/>
    <w:rsid w:val="007579B8"/>
    <w:rsid w:val="007957FF"/>
    <w:rsid w:val="007B19BD"/>
    <w:rsid w:val="007E3131"/>
    <w:rsid w:val="00806854"/>
    <w:rsid w:val="0081157A"/>
    <w:rsid w:val="008128F0"/>
    <w:rsid w:val="008130B8"/>
    <w:rsid w:val="00870A32"/>
    <w:rsid w:val="008B15E5"/>
    <w:rsid w:val="008B5F91"/>
    <w:rsid w:val="008C7A77"/>
    <w:rsid w:val="008D745F"/>
    <w:rsid w:val="008E01E8"/>
    <w:rsid w:val="009013E8"/>
    <w:rsid w:val="00931601"/>
    <w:rsid w:val="009461F0"/>
    <w:rsid w:val="0099445C"/>
    <w:rsid w:val="009979D3"/>
    <w:rsid w:val="009E128E"/>
    <w:rsid w:val="00A10128"/>
    <w:rsid w:val="00A15A73"/>
    <w:rsid w:val="00A44F19"/>
    <w:rsid w:val="00A46737"/>
    <w:rsid w:val="00A724D2"/>
    <w:rsid w:val="00A82DE0"/>
    <w:rsid w:val="00AC5C0E"/>
    <w:rsid w:val="00B061B0"/>
    <w:rsid w:val="00B45549"/>
    <w:rsid w:val="00B90127"/>
    <w:rsid w:val="00B967A5"/>
    <w:rsid w:val="00BA2AFF"/>
    <w:rsid w:val="00BC3D08"/>
    <w:rsid w:val="00BE2E68"/>
    <w:rsid w:val="00BE5393"/>
    <w:rsid w:val="00BF0C35"/>
    <w:rsid w:val="00BF4297"/>
    <w:rsid w:val="00C1314F"/>
    <w:rsid w:val="00C53A80"/>
    <w:rsid w:val="00D20E8B"/>
    <w:rsid w:val="00D717CD"/>
    <w:rsid w:val="00D76A84"/>
    <w:rsid w:val="00D85E85"/>
    <w:rsid w:val="00E13670"/>
    <w:rsid w:val="00E22C86"/>
    <w:rsid w:val="00E47380"/>
    <w:rsid w:val="00E71E28"/>
    <w:rsid w:val="00E81C6F"/>
    <w:rsid w:val="00E911A5"/>
    <w:rsid w:val="00EA52F0"/>
    <w:rsid w:val="00EE344F"/>
    <w:rsid w:val="00EE49F1"/>
    <w:rsid w:val="00EE53AB"/>
    <w:rsid w:val="00EE6AFB"/>
    <w:rsid w:val="00F01C93"/>
    <w:rsid w:val="00F022E7"/>
    <w:rsid w:val="00F11267"/>
    <w:rsid w:val="00F163B6"/>
    <w:rsid w:val="00F16D4F"/>
    <w:rsid w:val="00F272C9"/>
    <w:rsid w:val="00F47BA2"/>
    <w:rsid w:val="00FB13B8"/>
    <w:rsid w:val="00FD03EB"/>
    <w:rsid w:val="00F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E7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Rakstz."/>
    <w:basedOn w:val="Normal"/>
    <w:link w:val="HeaderChar"/>
    <w:uiPriority w:val="99"/>
    <w:rsid w:val="00F022E7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aliases w:val=" Rakstz. Char"/>
    <w:link w:val="Header"/>
    <w:uiPriority w:val="99"/>
    <w:rsid w:val="00F022E7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F022E7"/>
    <w:rPr>
      <w:color w:val="0000FF"/>
      <w:u w:val="single"/>
    </w:rPr>
  </w:style>
  <w:style w:type="character" w:styleId="PageNumber">
    <w:name w:val="page number"/>
    <w:basedOn w:val="DefaultParagraphFont"/>
    <w:rsid w:val="00F022E7"/>
  </w:style>
  <w:style w:type="paragraph" w:styleId="BalloonText">
    <w:name w:val="Balloon Text"/>
    <w:basedOn w:val="Normal"/>
    <w:link w:val="BalloonTextChar"/>
    <w:uiPriority w:val="99"/>
    <w:semiHidden/>
    <w:unhideWhenUsed/>
    <w:rsid w:val="00F022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2E7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124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91243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2912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1243"/>
    <w:pPr>
      <w:ind w:left="720"/>
      <w:contextualSpacing/>
    </w:pPr>
  </w:style>
  <w:style w:type="table" w:styleId="TableGrid">
    <w:name w:val="Table Grid"/>
    <w:basedOn w:val="TableNormal"/>
    <w:uiPriority w:val="59"/>
    <w:rsid w:val="00F16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C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73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373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7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3739"/>
    <w:rPr>
      <w:rFonts w:ascii="Times New Roman" w:eastAsia="Times New Roman" w:hAnsi="Times New Roman"/>
      <w:b/>
      <w:bCs/>
    </w:rPr>
  </w:style>
  <w:style w:type="character" w:styleId="FollowedHyperlink">
    <w:name w:val="FollowedHyperlink"/>
    <w:uiPriority w:val="99"/>
    <w:semiHidden/>
    <w:unhideWhenUsed/>
    <w:rsid w:val="00F1126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pkc.gov.lv/lv/profesionali/infekcijas-slimibas1/par-vakcinacij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doc.php?id=11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7227-64EC-4481-A6F3-C0DA9A5D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3305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Links>
    <vt:vector size="12" baseType="variant">
      <vt:variant>
        <vt:i4>5374032</vt:i4>
      </vt:variant>
      <vt:variant>
        <vt:i4>0</vt:i4>
      </vt:variant>
      <vt:variant>
        <vt:i4>0</vt:i4>
      </vt:variant>
      <vt:variant>
        <vt:i4>5</vt:i4>
      </vt:variant>
      <vt:variant>
        <vt:lpwstr>http://www.spkc.gov.lv/Infomacija-arstniecibas-personam/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http://likumi.lv/doc.php?id=11215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kantsone</dc:creator>
  <cp:keywords/>
  <cp:lastModifiedBy>Dace Mihalovska</cp:lastModifiedBy>
  <cp:revision>9</cp:revision>
  <cp:lastPrinted>2012-12-13T08:16:00Z</cp:lastPrinted>
  <dcterms:created xsi:type="dcterms:W3CDTF">2014-12-19T11:57:00Z</dcterms:created>
  <dcterms:modified xsi:type="dcterms:W3CDTF">2016-12-02T11:12:00Z</dcterms:modified>
</cp:coreProperties>
</file>