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E425" w14:textId="77777777" w:rsidR="00060CB5" w:rsidRDefault="00060CB5" w:rsidP="00060CB5">
      <w:pPr>
        <w:pStyle w:val="paragraph"/>
        <w:spacing w:before="0" w:beforeAutospacing="0" w:after="0" w:afterAutospacing="0"/>
        <w:ind w:firstLine="720"/>
        <w:jc w:val="both"/>
        <w:textAlignment w:val="baseline"/>
        <w:rPr>
          <w:rStyle w:val="normaltextrun"/>
          <w:color w:val="000000"/>
        </w:rPr>
      </w:pPr>
    </w:p>
    <w:p w14:paraId="1E1EC5F8" w14:textId="12AF3BF7" w:rsidR="00060CB5" w:rsidRPr="00060CB5" w:rsidRDefault="00060CB5" w:rsidP="00060CB5">
      <w:pPr>
        <w:pStyle w:val="paragraph"/>
        <w:spacing w:before="0" w:beforeAutospacing="0" w:after="0" w:afterAutospacing="0"/>
        <w:ind w:firstLine="720"/>
        <w:jc w:val="center"/>
        <w:textAlignment w:val="baseline"/>
        <w:rPr>
          <w:rStyle w:val="normaltextrun"/>
          <w:b/>
          <w:bCs/>
          <w:color w:val="000000"/>
          <w:sz w:val="32"/>
          <w:szCs w:val="32"/>
        </w:rPr>
      </w:pPr>
      <w:r w:rsidRPr="00060CB5">
        <w:rPr>
          <w:b/>
          <w:bCs/>
          <w:color w:val="000000"/>
          <w:sz w:val="32"/>
          <w:szCs w:val="32"/>
        </w:rPr>
        <w:t>Informatīvs materiāls par malārijas profilaksi</w:t>
      </w:r>
    </w:p>
    <w:p w14:paraId="3B73EB0A" w14:textId="77777777" w:rsidR="00060CB5" w:rsidRDefault="00060CB5" w:rsidP="00060CB5">
      <w:pPr>
        <w:pStyle w:val="paragraph"/>
        <w:spacing w:before="0" w:beforeAutospacing="0" w:after="0" w:afterAutospacing="0"/>
        <w:ind w:firstLine="720"/>
        <w:jc w:val="both"/>
        <w:textAlignment w:val="baseline"/>
        <w:rPr>
          <w:rStyle w:val="normaltextrun"/>
          <w:color w:val="000000"/>
        </w:rPr>
      </w:pPr>
    </w:p>
    <w:p w14:paraId="27E02DC5" w14:textId="4AC57AE3" w:rsidR="00060CB5" w:rsidRDefault="00060CB5" w:rsidP="00060CB5">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rPr>
        <w:t xml:space="preserve">Malārija ir potenciāli dzīvībai bīstama parazītu uzraisīta infekcijas slimība, ko galvenokārt pārnēsā inficēti </w:t>
      </w:r>
      <w:proofErr w:type="spellStart"/>
      <w:r>
        <w:rPr>
          <w:rStyle w:val="normaltextrun"/>
          <w:i/>
          <w:iCs/>
          <w:color w:val="000000"/>
        </w:rPr>
        <w:t>Anopheles</w:t>
      </w:r>
      <w:proofErr w:type="spellEnd"/>
      <w:r>
        <w:rPr>
          <w:rStyle w:val="normaltextrun"/>
          <w:color w:val="000000"/>
        </w:rPr>
        <w:t xml:space="preserve"> ģints odi. Ikdienas saskarsmē tā no cilvēka cilvēkam nepārnēsājas. Slimības simptomi var parādīties ceļojuma laikā vai pēc atgriešanās, dažkārt </w:t>
      </w:r>
      <w:r w:rsidR="0031016C">
        <w:rPr>
          <w:rStyle w:val="normaltextrun"/>
          <w:color w:val="000000"/>
        </w:rPr>
        <w:t xml:space="preserve">pat </w:t>
      </w:r>
      <w:r>
        <w:rPr>
          <w:rStyle w:val="normaltextrun"/>
          <w:color w:val="000000"/>
        </w:rPr>
        <w:t>vairākas nedēļas vai mēnešus pēc uzturēšanās riska teritorijā (sk. kartē</w:t>
      </w:r>
      <w:r>
        <w:rPr>
          <w:rStyle w:val="FootnoteReference"/>
          <w:color w:val="000000"/>
        </w:rPr>
        <w:footnoteReference w:id="1"/>
      </w:r>
      <w:r>
        <w:rPr>
          <w:rStyle w:val="normaltextrun"/>
          <w:color w:val="000000"/>
        </w:rPr>
        <w:t xml:space="preserve">). Īpaši smagi var noritēt </w:t>
      </w:r>
      <w:proofErr w:type="spellStart"/>
      <w:r>
        <w:rPr>
          <w:rStyle w:val="normaltextrun"/>
          <w:i/>
          <w:iCs/>
          <w:color w:val="000000"/>
        </w:rPr>
        <w:t>Plasmodium</w:t>
      </w:r>
      <w:proofErr w:type="spellEnd"/>
      <w:r>
        <w:rPr>
          <w:rStyle w:val="normaltextrun"/>
          <w:i/>
          <w:iCs/>
          <w:color w:val="000000"/>
        </w:rPr>
        <w:t xml:space="preserve"> </w:t>
      </w:r>
      <w:proofErr w:type="spellStart"/>
      <w:r>
        <w:rPr>
          <w:rStyle w:val="normaltextrun"/>
          <w:i/>
          <w:iCs/>
          <w:color w:val="000000"/>
        </w:rPr>
        <w:t>falciparum</w:t>
      </w:r>
      <w:proofErr w:type="spellEnd"/>
      <w:r>
        <w:rPr>
          <w:rStyle w:val="normaltextrun"/>
          <w:color w:val="000000"/>
        </w:rPr>
        <w:t xml:space="preserve"> izraisīta malārija, kas bez savlaicīgas ārstēšanas var strauji progresēt. </w:t>
      </w:r>
    </w:p>
    <w:p w14:paraId="5E489663" w14:textId="69D5FE51" w:rsidR="00060CB5" w:rsidRDefault="00060CB5" w:rsidP="00060CB5">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rPr>
        <w:t>Biežākie malārijas simptomi ir:</w:t>
      </w:r>
    </w:p>
    <w:p w14:paraId="21BE3A2B" w14:textId="4AA6659A" w:rsidR="00060CB5" w:rsidRDefault="00060CB5" w:rsidP="0031016C">
      <w:pPr>
        <w:pStyle w:val="paragraph"/>
        <w:numPr>
          <w:ilvl w:val="0"/>
          <w:numId w:val="3"/>
        </w:numPr>
        <w:tabs>
          <w:tab w:val="left" w:pos="1710"/>
        </w:tabs>
        <w:spacing w:before="0" w:beforeAutospacing="0" w:after="0" w:afterAutospacing="0"/>
        <w:ind w:left="1350"/>
        <w:jc w:val="both"/>
        <w:textAlignment w:val="baseline"/>
      </w:pPr>
      <w:r>
        <w:rPr>
          <w:rStyle w:val="normaltextrun"/>
          <w:color w:val="000000"/>
        </w:rPr>
        <w:t>drudzis un drebuļi; </w:t>
      </w:r>
    </w:p>
    <w:p w14:paraId="19CA542C" w14:textId="6C94957E" w:rsidR="00060CB5" w:rsidRDefault="00060CB5" w:rsidP="0031016C">
      <w:pPr>
        <w:pStyle w:val="paragraph"/>
        <w:numPr>
          <w:ilvl w:val="0"/>
          <w:numId w:val="4"/>
        </w:numPr>
        <w:tabs>
          <w:tab w:val="left" w:pos="1710"/>
        </w:tabs>
        <w:spacing w:before="0" w:beforeAutospacing="0" w:after="0" w:afterAutospacing="0"/>
        <w:ind w:left="1350"/>
        <w:jc w:val="both"/>
        <w:textAlignment w:val="baseline"/>
      </w:pPr>
      <w:r>
        <w:rPr>
          <w:rStyle w:val="normaltextrun"/>
          <w:color w:val="000000"/>
        </w:rPr>
        <w:t>galvassāpes un muskuļu sāpes; </w:t>
      </w:r>
    </w:p>
    <w:p w14:paraId="020BD994" w14:textId="1B37E6BB" w:rsidR="00060CB5" w:rsidRDefault="00060CB5" w:rsidP="0031016C">
      <w:pPr>
        <w:pStyle w:val="paragraph"/>
        <w:numPr>
          <w:ilvl w:val="0"/>
          <w:numId w:val="5"/>
        </w:numPr>
        <w:tabs>
          <w:tab w:val="left" w:pos="1710"/>
        </w:tabs>
        <w:spacing w:before="0" w:beforeAutospacing="0" w:after="0" w:afterAutospacing="0"/>
        <w:ind w:left="1350"/>
        <w:jc w:val="both"/>
        <w:textAlignment w:val="baseline"/>
      </w:pPr>
      <w:r>
        <w:rPr>
          <w:rStyle w:val="normaltextrun"/>
          <w:color w:val="000000"/>
        </w:rPr>
        <w:t>izteikts nogurums un nespēks; </w:t>
      </w:r>
    </w:p>
    <w:p w14:paraId="1BA6C215" w14:textId="4A9B5366" w:rsidR="00060CB5" w:rsidRDefault="00060CB5" w:rsidP="0031016C">
      <w:pPr>
        <w:pStyle w:val="paragraph"/>
        <w:numPr>
          <w:ilvl w:val="0"/>
          <w:numId w:val="6"/>
        </w:numPr>
        <w:tabs>
          <w:tab w:val="left" w:pos="1710"/>
        </w:tabs>
        <w:spacing w:before="0" w:beforeAutospacing="0" w:after="0" w:afterAutospacing="0"/>
        <w:ind w:left="1350"/>
        <w:jc w:val="both"/>
        <w:textAlignment w:val="baseline"/>
      </w:pPr>
      <w:r>
        <w:rPr>
          <w:rStyle w:val="normaltextrun"/>
          <w:color w:val="000000"/>
        </w:rPr>
        <w:t>pastiprināta svīšana; </w:t>
      </w:r>
    </w:p>
    <w:p w14:paraId="677065C3" w14:textId="43DB4420" w:rsidR="00060CB5" w:rsidRDefault="00060CB5" w:rsidP="0031016C">
      <w:pPr>
        <w:pStyle w:val="paragraph"/>
        <w:numPr>
          <w:ilvl w:val="0"/>
          <w:numId w:val="7"/>
        </w:numPr>
        <w:tabs>
          <w:tab w:val="left" w:pos="1710"/>
        </w:tabs>
        <w:spacing w:before="0" w:beforeAutospacing="0" w:after="0" w:afterAutospacing="0"/>
        <w:ind w:left="1350"/>
        <w:jc w:val="both"/>
        <w:textAlignment w:val="baseline"/>
      </w:pPr>
      <w:r>
        <w:rPr>
          <w:rStyle w:val="normaltextrun"/>
          <w:color w:val="000000"/>
        </w:rPr>
        <w:t>slikta dūša, vemšana, caureja vai sāpes vēderā. </w:t>
      </w:r>
    </w:p>
    <w:p w14:paraId="5DFCDB48" w14:textId="20FB7576" w:rsidR="00060CB5" w:rsidRDefault="00060CB5" w:rsidP="00060CB5">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rPr>
        <w:t>Smagas slimības gadījumā iespējami apziņas traucējumi, krampji, elpošanas grūtības, dzelte, tumšs urīns un orgānu darbības traucējumi.</w:t>
      </w:r>
    </w:p>
    <w:p w14:paraId="48753325" w14:textId="7BE87FB2" w:rsidR="00060CB5" w:rsidRDefault="00060CB5" w:rsidP="00060CB5">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rPr>
        <w:t>Ņemot vērā starptautiskās lidostas “Rīga” intensīvo pasažieru un kravu plūsmu, aicinām izvērtēt malārijas pārnēsātāju odu ievazāšanas risku ar</w:t>
      </w:r>
      <w:r w:rsidR="0031016C">
        <w:rPr>
          <w:rStyle w:val="normaltextrun"/>
          <w:color w:val="000000"/>
        </w:rPr>
        <w:t xml:space="preserve"> </w:t>
      </w:r>
      <w:r>
        <w:rPr>
          <w:rStyle w:val="normaltextrun"/>
          <w:color w:val="000000"/>
        </w:rPr>
        <w:t>gaisa kuģiem un kravām no malārijas skartajām teritorijām (sk</w:t>
      </w:r>
      <w:r w:rsidR="0031016C">
        <w:rPr>
          <w:rStyle w:val="normaltextrun"/>
          <w:color w:val="000000"/>
        </w:rPr>
        <w:t>.</w:t>
      </w:r>
      <w:r>
        <w:rPr>
          <w:rStyle w:val="normaltextrun"/>
          <w:color w:val="000000"/>
        </w:rPr>
        <w:t xml:space="preserve"> karti). Ja šāds risks tiek atzīts par būtisku, aicinām informēt lidostas darbiniekus par iespējamiem malārijas riskiem un slimības raksturīgākajiem simptomiem. Darbinieki būtu jāaicina drudža vai citu iespējamu malārijas simptomu gadījumā nekavējoties vērsties pie ārsta, informējot ārstniecības personu par savu darba vietu un iespējamo saskari ar odiem, kas ar gaisa kuģiem vai kravām varētu būt ievesti no malārijas skartajām teritorijām.</w:t>
      </w:r>
    </w:p>
    <w:p w14:paraId="5337F20D" w14:textId="2791500D" w:rsidR="00060CB5" w:rsidRDefault="00060CB5" w:rsidP="00060CB5">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rPr>
        <w:t>Informācija par malārijas profilaksi ceļojuma laikā ir pieejama Slimību profilakses un kontroles centra tīmekļvietnē</w:t>
      </w:r>
      <w:r>
        <w:rPr>
          <w:rStyle w:val="FootnoteReference"/>
          <w:color w:val="000000"/>
        </w:rPr>
        <w:footnoteReference w:id="2"/>
      </w:r>
      <w:r>
        <w:rPr>
          <w:rStyle w:val="normaltextrun"/>
          <w:color w:val="000000"/>
        </w:rPr>
        <w:t>.</w:t>
      </w:r>
    </w:p>
    <w:p w14:paraId="531412FC" w14:textId="18F223CB" w:rsidR="00060CB5" w:rsidRDefault="00060CB5" w:rsidP="00060CB5">
      <w:pPr>
        <w:pStyle w:val="paragraph"/>
        <w:spacing w:before="0" w:beforeAutospacing="0" w:after="0" w:afterAutospacing="0"/>
        <w:jc w:val="both"/>
        <w:textAlignment w:val="baseline"/>
        <w:rPr>
          <w:rFonts w:ascii="Segoe UI" w:hAnsi="Segoe UI" w:cs="Segoe UI"/>
          <w:sz w:val="18"/>
          <w:szCs w:val="18"/>
        </w:rPr>
      </w:pPr>
    </w:p>
    <w:p w14:paraId="4429389F" w14:textId="5BAF27F1" w:rsidR="00060CB5" w:rsidRDefault="00060CB5" w:rsidP="00060CB5">
      <w:pPr>
        <w:pStyle w:val="paragraph"/>
        <w:spacing w:before="0" w:beforeAutospacing="0" w:after="0" w:afterAutospacing="0"/>
        <w:ind w:firstLine="720"/>
        <w:jc w:val="both"/>
        <w:textAlignment w:val="baseline"/>
        <w:rPr>
          <w:rStyle w:val="normaltextrun"/>
          <w:color w:val="000000"/>
        </w:rPr>
      </w:pPr>
      <w:r>
        <w:rPr>
          <w:rStyle w:val="normaltextrun"/>
          <w:color w:val="000000"/>
        </w:rPr>
        <w:t xml:space="preserve">Malārijas profilakse ietver aizsardzību pret odu kodumiem un, ja nepieciešams, profilaktisku </w:t>
      </w:r>
      <w:proofErr w:type="spellStart"/>
      <w:r>
        <w:rPr>
          <w:rStyle w:val="normaltextrun"/>
          <w:color w:val="000000"/>
        </w:rPr>
        <w:t>pretmalārijas</w:t>
      </w:r>
      <w:proofErr w:type="spellEnd"/>
      <w:r>
        <w:rPr>
          <w:rStyle w:val="normaltextrun"/>
          <w:color w:val="000000"/>
        </w:rPr>
        <w:t xml:space="preserve"> medikamentu lietošanu (</w:t>
      </w:r>
      <w:proofErr w:type="spellStart"/>
      <w:r>
        <w:rPr>
          <w:rStyle w:val="normaltextrun"/>
          <w:color w:val="000000"/>
        </w:rPr>
        <w:t>ķīmijprofilaksi</w:t>
      </w:r>
      <w:proofErr w:type="spellEnd"/>
      <w:r>
        <w:rPr>
          <w:rStyle w:val="normaltextrun"/>
          <w:color w:val="000000"/>
        </w:rPr>
        <w:t>). Profilakses pasākumi jāizvēlas atbilstoši ceļojuma galamērķim, maršrutam, uzturēšanās ilgumam un ceļotāja veselības stāvoklim.</w:t>
      </w:r>
    </w:p>
    <w:p w14:paraId="68836F5E" w14:textId="77777777" w:rsidR="0031016C" w:rsidRDefault="0031016C" w:rsidP="00060CB5">
      <w:pPr>
        <w:pStyle w:val="paragraph"/>
        <w:spacing w:before="0" w:beforeAutospacing="0" w:after="0" w:afterAutospacing="0"/>
        <w:ind w:firstLine="720"/>
        <w:jc w:val="both"/>
        <w:textAlignment w:val="baseline"/>
        <w:rPr>
          <w:rFonts w:ascii="Segoe UI" w:hAnsi="Segoe UI" w:cs="Segoe UI"/>
          <w:sz w:val="18"/>
          <w:szCs w:val="18"/>
        </w:rPr>
      </w:pPr>
    </w:p>
    <w:p w14:paraId="7C6DF4E3" w14:textId="1C53F372" w:rsidR="00060CB5" w:rsidRPr="0031016C" w:rsidRDefault="00060CB5" w:rsidP="00060CB5">
      <w:pPr>
        <w:pStyle w:val="paragraph"/>
        <w:spacing w:before="0" w:beforeAutospacing="0" w:after="0" w:afterAutospacing="0"/>
        <w:jc w:val="both"/>
        <w:textAlignment w:val="baseline"/>
        <w:rPr>
          <w:rFonts w:ascii="Segoe UI" w:hAnsi="Segoe UI" w:cs="Segoe UI"/>
          <w:b/>
          <w:bCs/>
          <w:sz w:val="18"/>
          <w:szCs w:val="18"/>
        </w:rPr>
      </w:pPr>
      <w:r w:rsidRPr="0031016C">
        <w:rPr>
          <w:rStyle w:val="normaltextrun"/>
          <w:b/>
          <w:bCs/>
        </w:rPr>
        <w:t>Lai samazinātu risku saslimt ar malāriju, ceļotājiem ieteicams:</w:t>
      </w:r>
    </w:p>
    <w:p w14:paraId="2158B376" w14:textId="699C25FC" w:rsidR="00060CB5" w:rsidRDefault="00060CB5" w:rsidP="00060CB5">
      <w:pPr>
        <w:pStyle w:val="paragraph"/>
        <w:numPr>
          <w:ilvl w:val="0"/>
          <w:numId w:val="8"/>
        </w:numPr>
        <w:spacing w:before="0" w:beforeAutospacing="0" w:after="0" w:afterAutospacing="0"/>
        <w:ind w:left="1080" w:firstLine="0"/>
        <w:jc w:val="both"/>
        <w:textAlignment w:val="baseline"/>
      </w:pPr>
      <w:r>
        <w:rPr>
          <w:rStyle w:val="normaltextrun"/>
        </w:rPr>
        <w:t xml:space="preserve">Savlaicīgi konsultēties ar ārstu. Vairākas nedēļas pirms došanās uz malārijas riska teritoriju konsultēties ar ģimenes ārstu vai ceļojumu medicīnas speciālistu. Konsultācijā jāizvērtē plānotais maršruts, nakšņošanas apstākļi, ceļotāja vecums, grūtniecība, </w:t>
      </w:r>
      <w:proofErr w:type="spellStart"/>
      <w:r>
        <w:rPr>
          <w:rStyle w:val="normaltextrun"/>
        </w:rPr>
        <w:t>blakusslimības</w:t>
      </w:r>
      <w:proofErr w:type="spellEnd"/>
      <w:r>
        <w:rPr>
          <w:rStyle w:val="normaltextrun"/>
        </w:rPr>
        <w:t xml:space="preserve"> un lietotie medikamenti, lai noteiktu nepieciešamos profilakses pasākumus;</w:t>
      </w:r>
    </w:p>
    <w:p w14:paraId="62E9673E" w14:textId="77777777" w:rsidR="00060CB5" w:rsidRDefault="00060CB5" w:rsidP="00060CB5">
      <w:pPr>
        <w:pStyle w:val="paragraph"/>
        <w:numPr>
          <w:ilvl w:val="0"/>
          <w:numId w:val="9"/>
        </w:numPr>
        <w:spacing w:before="0" w:beforeAutospacing="0" w:after="0" w:afterAutospacing="0"/>
        <w:ind w:left="1080" w:firstLine="0"/>
        <w:jc w:val="both"/>
        <w:textAlignment w:val="baseline"/>
      </w:pPr>
      <w:r>
        <w:rPr>
          <w:rStyle w:val="normaltextrun"/>
        </w:rPr>
        <w:t xml:space="preserve">Ievērot ārsta nozīmēto medikamentozo profilaksi. Ja ārsts iesaka </w:t>
      </w:r>
      <w:proofErr w:type="spellStart"/>
      <w:r>
        <w:rPr>
          <w:rStyle w:val="normaltextrun"/>
        </w:rPr>
        <w:t>ķīmijprofilaksi</w:t>
      </w:r>
      <w:proofErr w:type="spellEnd"/>
      <w:r>
        <w:rPr>
          <w:rStyle w:val="normaltextrun"/>
        </w:rPr>
        <w:t xml:space="preserve">, lietot galamērķim piemērotus </w:t>
      </w:r>
      <w:proofErr w:type="spellStart"/>
      <w:r>
        <w:rPr>
          <w:rStyle w:val="normaltextrun"/>
        </w:rPr>
        <w:t>pretmalārijas</w:t>
      </w:r>
      <w:proofErr w:type="spellEnd"/>
      <w:r>
        <w:rPr>
          <w:rStyle w:val="normaltextrun"/>
        </w:rPr>
        <w:t xml:space="preserve"> medikamentus noteiktajā devā un režīmā. To lietošana jāuzsāk pirms ierašanās malārijas riska teritorijā, jāturpina visu uzturēšanās laiku un noteiktu laiku pēc teritorijas atstāšanas. Lietošanas sākšanas laiks un ilgums pēc ceļojuma ir atkarīgs no izvēlētā medikamenta. Profilaksi </w:t>
      </w:r>
      <w:r>
        <w:rPr>
          <w:rStyle w:val="normaltextrun"/>
        </w:rPr>
        <w:lastRenderedPageBreak/>
        <w:t>nedrīkst patstāvīgi pārtraukt uzreiz pēc atgriešanās. Medikamentu lietošana neaizstāj aizsardzību pret odu kodumiem;</w:t>
      </w:r>
      <w:r>
        <w:rPr>
          <w:rStyle w:val="eop"/>
        </w:rPr>
        <w:t> </w:t>
      </w:r>
    </w:p>
    <w:p w14:paraId="2F2AAA43" w14:textId="509F3C24" w:rsidR="00060CB5" w:rsidRDefault="00060CB5" w:rsidP="00060CB5">
      <w:pPr>
        <w:pStyle w:val="paragraph"/>
        <w:numPr>
          <w:ilvl w:val="0"/>
          <w:numId w:val="10"/>
        </w:numPr>
        <w:spacing w:before="0" w:beforeAutospacing="0" w:after="0" w:afterAutospacing="0"/>
        <w:ind w:left="1080" w:firstLine="0"/>
        <w:jc w:val="both"/>
        <w:textAlignment w:val="baseline"/>
      </w:pPr>
      <w:r>
        <w:rPr>
          <w:rStyle w:val="normaltextrun"/>
        </w:rPr>
        <w:t xml:space="preserve">Izmantot odu </w:t>
      </w:r>
      <w:proofErr w:type="spellStart"/>
      <w:r>
        <w:rPr>
          <w:rStyle w:val="normaltextrun"/>
        </w:rPr>
        <w:t>repelentus</w:t>
      </w:r>
      <w:proofErr w:type="spellEnd"/>
      <w:r>
        <w:rPr>
          <w:rStyle w:val="normaltextrun"/>
        </w:rPr>
        <w:t xml:space="preserve">. Izvēlēties </w:t>
      </w:r>
      <w:proofErr w:type="spellStart"/>
      <w:r>
        <w:rPr>
          <w:rStyle w:val="normaltextrun"/>
        </w:rPr>
        <w:t>repelentus</w:t>
      </w:r>
      <w:proofErr w:type="spellEnd"/>
      <w:r>
        <w:rPr>
          <w:rStyle w:val="normaltextrun"/>
        </w:rPr>
        <w:t xml:space="preserve">, kas satur DEET, </w:t>
      </w:r>
      <w:proofErr w:type="spellStart"/>
      <w:r>
        <w:rPr>
          <w:rStyle w:val="normaltextrun"/>
        </w:rPr>
        <w:t>ikaridīnu</w:t>
      </w:r>
      <w:proofErr w:type="spellEnd"/>
      <w:r>
        <w:rPr>
          <w:rStyle w:val="normaltextrun"/>
        </w:rPr>
        <w:t xml:space="preserve"> (</w:t>
      </w:r>
      <w:proofErr w:type="spellStart"/>
      <w:r>
        <w:rPr>
          <w:rStyle w:val="normaltextrun"/>
        </w:rPr>
        <w:t>pikaridīnu</w:t>
      </w:r>
      <w:proofErr w:type="spellEnd"/>
      <w:r>
        <w:rPr>
          <w:rStyle w:val="normaltextrun"/>
        </w:rPr>
        <w:t xml:space="preserve">) vai IR3535, un lietot tos atbilstoši produkta instrukcijai. </w:t>
      </w:r>
      <w:proofErr w:type="spellStart"/>
      <w:r>
        <w:rPr>
          <w:rStyle w:val="normaltextrun"/>
        </w:rPr>
        <w:t>Repelentu</w:t>
      </w:r>
      <w:proofErr w:type="spellEnd"/>
      <w:r>
        <w:rPr>
          <w:rStyle w:val="normaltextrun"/>
        </w:rPr>
        <w:t xml:space="preserve"> uzklāt uz atklātām ādas vietām, atkārtojot uzklāšanu ražotāja norādītajā biežumā. To nedrīkst uzklāt uz bojātas vai kairinātas ādas vai zem apģērba; jāizvairās no saskares ar acīm, muti un gļotādām. Bērniem </w:t>
      </w:r>
      <w:proofErr w:type="spellStart"/>
      <w:r>
        <w:rPr>
          <w:rStyle w:val="normaltextrun"/>
        </w:rPr>
        <w:t>repelents</w:t>
      </w:r>
      <w:proofErr w:type="spellEnd"/>
      <w:r>
        <w:rPr>
          <w:rStyle w:val="normaltextrun"/>
        </w:rPr>
        <w:t xml:space="preserve"> jālieto pieaugušā uzraudzībā, ievērojot produkta vecuma ierobežojumus un neuzklājot to uz bērna plaukstām. Ja lieto arī saules aizsargkrēmu, vispirms uzklāt aizsargkrēmu un pēc tam </w:t>
      </w:r>
      <w:proofErr w:type="spellStart"/>
      <w:r>
        <w:rPr>
          <w:rStyle w:val="normaltextrun"/>
        </w:rPr>
        <w:t>repelentu</w:t>
      </w:r>
      <w:proofErr w:type="spellEnd"/>
      <w:r>
        <w:rPr>
          <w:rStyle w:val="normaltextrun"/>
        </w:rPr>
        <w:t>;</w:t>
      </w:r>
    </w:p>
    <w:p w14:paraId="12D2A608" w14:textId="0B0F992D" w:rsidR="00060CB5" w:rsidRDefault="00060CB5" w:rsidP="00060CB5">
      <w:pPr>
        <w:pStyle w:val="paragraph"/>
        <w:numPr>
          <w:ilvl w:val="0"/>
          <w:numId w:val="11"/>
        </w:numPr>
        <w:spacing w:before="0" w:beforeAutospacing="0" w:after="0" w:afterAutospacing="0"/>
        <w:ind w:left="1080" w:firstLine="0"/>
        <w:jc w:val="both"/>
        <w:textAlignment w:val="baseline"/>
      </w:pPr>
      <w:r>
        <w:rPr>
          <w:rStyle w:val="normaltextrun"/>
        </w:rPr>
        <w:t>Valkāt ķermeni nosedzošu apģērbu. Īpaši no krēslas līdz rītausmai, kad malāriju pārnesošie odi parasti ir visaktīvākie, valkāt brīvu apģērbu ar garām piedurknēm, gar</w:t>
      </w:r>
      <w:r w:rsidR="0031016C">
        <w:rPr>
          <w:rStyle w:val="normaltextrun"/>
        </w:rPr>
        <w:t>a</w:t>
      </w:r>
      <w:r>
        <w:rPr>
          <w:rStyle w:val="normaltextrun"/>
        </w:rPr>
        <w:t>s bikses un zeķes, samazinot atklātas ādas laukumu;</w:t>
      </w:r>
    </w:p>
    <w:p w14:paraId="363844A4" w14:textId="07D3114A" w:rsidR="00060CB5" w:rsidRDefault="00060CB5" w:rsidP="00060CB5">
      <w:pPr>
        <w:pStyle w:val="paragraph"/>
        <w:numPr>
          <w:ilvl w:val="0"/>
          <w:numId w:val="12"/>
        </w:numPr>
        <w:spacing w:before="0" w:beforeAutospacing="0" w:after="0" w:afterAutospacing="0"/>
        <w:ind w:left="1080" w:firstLine="0"/>
        <w:jc w:val="both"/>
        <w:textAlignment w:val="baseline"/>
      </w:pPr>
      <w:r>
        <w:rPr>
          <w:rStyle w:val="normaltextrun"/>
        </w:rPr>
        <w:t>Izvēlēties no odiem pasargātas naktsmītnes. Nakšņot telpās ar nebojātiem logu un durvju sietiem vai gaisa kondicionēšanu, nepieļaujot odu iekļūšanu pa atvērtiem logiem un durvīm;</w:t>
      </w:r>
    </w:p>
    <w:p w14:paraId="27AE2936" w14:textId="474B000D" w:rsidR="00060CB5" w:rsidRDefault="00060CB5" w:rsidP="00060CB5">
      <w:pPr>
        <w:pStyle w:val="paragraph"/>
        <w:numPr>
          <w:ilvl w:val="0"/>
          <w:numId w:val="13"/>
        </w:numPr>
        <w:spacing w:before="0" w:beforeAutospacing="0" w:after="0" w:afterAutospacing="0"/>
        <w:ind w:left="1080" w:firstLine="0"/>
        <w:jc w:val="both"/>
        <w:textAlignment w:val="baseline"/>
      </w:pPr>
      <w:r>
        <w:rPr>
          <w:rStyle w:val="normaltextrun"/>
        </w:rPr>
        <w:t xml:space="preserve">Gulēšanai izmantot ar insekticīdu apstrādātu </w:t>
      </w:r>
      <w:proofErr w:type="spellStart"/>
      <w:r>
        <w:rPr>
          <w:rStyle w:val="normaltextrun"/>
        </w:rPr>
        <w:t>pretodu</w:t>
      </w:r>
      <w:proofErr w:type="spellEnd"/>
      <w:r>
        <w:rPr>
          <w:rStyle w:val="normaltextrun"/>
        </w:rPr>
        <w:t xml:space="preserve"> tīklu, ja naktsmītnē nav iespējams novērst odu iekļūšanu. Pārliecināties, ka tīkls nav bojāts, pilnībā nosedz guļvietu un tā malas ir nostiprinātas zem matrača;</w:t>
      </w:r>
    </w:p>
    <w:p w14:paraId="5F6FCA17" w14:textId="0D1557EA" w:rsidR="00060CB5" w:rsidRDefault="00060CB5" w:rsidP="00060CB5">
      <w:pPr>
        <w:pStyle w:val="paragraph"/>
        <w:numPr>
          <w:ilvl w:val="0"/>
          <w:numId w:val="14"/>
        </w:numPr>
        <w:spacing w:before="0" w:beforeAutospacing="0" w:after="0" w:afterAutospacing="0"/>
        <w:ind w:left="1080" w:firstLine="0"/>
        <w:jc w:val="both"/>
        <w:textAlignment w:val="baseline"/>
      </w:pPr>
      <w:r>
        <w:rPr>
          <w:rStyle w:val="normaltextrun"/>
        </w:rPr>
        <w:t xml:space="preserve">Ja ceļojuma laikā vai pēc atgriešanās </w:t>
      </w:r>
      <w:r w:rsidR="0031016C">
        <w:rPr>
          <w:rStyle w:val="normaltextrun"/>
        </w:rPr>
        <w:t xml:space="preserve">no malārijas riska teritorijas </w:t>
      </w:r>
      <w:r>
        <w:rPr>
          <w:rStyle w:val="normaltextrun"/>
        </w:rPr>
        <w:t>rodas drudzis, nekavējoties jāmeklē medicīniska palīdzība, informējot ārstu par apmeklētajām valstīm, ceļojuma laiku un lietotajiem profilakses medikamentiem. Malārijas iespējamība jāizvērtē arī tad, ja profilakses medikamenti lietoti atbilstoši norādījumiem</w:t>
      </w:r>
      <w:r>
        <w:rPr>
          <w:rStyle w:val="FootnoteReference"/>
        </w:rPr>
        <w:footnoteReference w:id="3"/>
      </w:r>
      <w:r>
        <w:rPr>
          <w:rStyle w:val="normaltextrun"/>
          <w:color w:val="000000"/>
        </w:rPr>
        <w:t>.</w:t>
      </w:r>
    </w:p>
    <w:p w14:paraId="5EA8CD83" w14:textId="79DBAB6C" w:rsidR="00060CB5" w:rsidRDefault="00060CB5" w:rsidP="00060CB5">
      <w:pPr>
        <w:pStyle w:val="paragraph"/>
        <w:spacing w:before="0" w:beforeAutospacing="0" w:after="0" w:afterAutospacing="0"/>
        <w:jc w:val="both"/>
        <w:textAlignment w:val="baseline"/>
        <w:rPr>
          <w:rFonts w:ascii="Segoe UI" w:hAnsi="Segoe UI" w:cs="Segoe UI"/>
          <w:sz w:val="18"/>
          <w:szCs w:val="18"/>
        </w:rPr>
      </w:pPr>
    </w:p>
    <w:p w14:paraId="0CE10FC8" w14:textId="77777777" w:rsidR="00060CB5" w:rsidRDefault="00060CB5" w:rsidP="00060CB5">
      <w:pPr>
        <w:pStyle w:val="paragraph"/>
        <w:spacing w:before="0" w:beforeAutospacing="0" w:after="0" w:afterAutospacing="0"/>
        <w:textAlignment w:val="baseline"/>
        <w:rPr>
          <w:rFonts w:ascii="Segoe UI" w:hAnsi="Segoe UI" w:cs="Segoe UI"/>
          <w:sz w:val="18"/>
          <w:szCs w:val="18"/>
        </w:rPr>
      </w:pPr>
      <w:r>
        <w:rPr>
          <w:rStyle w:val="eop"/>
        </w:rPr>
        <w:t> </w:t>
      </w:r>
    </w:p>
    <w:p w14:paraId="43555665" w14:textId="4AF1BEA3" w:rsidR="00A91007" w:rsidRPr="00A91007" w:rsidRDefault="00A91007" w:rsidP="00060CB5">
      <w:pPr>
        <w:spacing w:before="360"/>
      </w:pPr>
    </w:p>
    <w:sectPr w:rsidR="00A91007" w:rsidRPr="00A91007" w:rsidSect="008C265B">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63405" w14:textId="77777777" w:rsidR="004C200C" w:rsidRDefault="004C200C">
      <w:r>
        <w:separator/>
      </w:r>
    </w:p>
  </w:endnote>
  <w:endnote w:type="continuationSeparator" w:id="0">
    <w:p w14:paraId="1DF9CF3A" w14:textId="77777777" w:rsidR="004C200C" w:rsidRDefault="004C2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7457" w14:textId="77777777" w:rsidR="004C200C" w:rsidRDefault="004C200C">
      <w:r>
        <w:separator/>
      </w:r>
    </w:p>
  </w:footnote>
  <w:footnote w:type="continuationSeparator" w:id="0">
    <w:p w14:paraId="0AAA2EAC" w14:textId="77777777" w:rsidR="004C200C" w:rsidRDefault="004C200C">
      <w:r>
        <w:continuationSeparator/>
      </w:r>
    </w:p>
  </w:footnote>
  <w:footnote w:id="1">
    <w:p w14:paraId="640201C6" w14:textId="77777777" w:rsidR="00060CB5" w:rsidRPr="00060CB5" w:rsidRDefault="00060CB5" w:rsidP="00060CB5">
      <w:pPr>
        <w:pStyle w:val="FootnoteText"/>
      </w:pPr>
      <w:r>
        <w:rPr>
          <w:rStyle w:val="FootnoteReference"/>
        </w:rPr>
        <w:footnoteRef/>
      </w:r>
      <w:r>
        <w:t xml:space="preserve"> </w:t>
      </w:r>
      <w:r w:rsidRPr="00060CB5">
        <w:t> </w:t>
      </w:r>
      <w:hyperlink r:id="rId1" w:anchor="/maps?theme=invasive&amp;mapType=invasive%3A0&amp;bounds=%5B%5B-143.10059402756775%2C-8.51273625028081%5D%2C%5B248.6471594556865%2C81.71317994319284%5D%5D&amp;insecticideClass=PYRETHROIDS&amp;insecticideTypes=&amp;assayTypes=MOLECULAR_ASSAY%2CBIOCHEMICAL_ASSAY%2CSYNERGIST-INSECTICIDE_BIOASSAY&amp;synergistTypes=&amp;species=&amp;vectorSpecies=&amp;surveyTypes=&amp;plasmodiumSpecies=&amp;drugs=&amp;mmType=1&amp;excludeLowerPatients=false&amp;excludeLowerSamples=false&amp;endemicity=false&amp;storyMode=false&amp;storyModeStep=0&amp;years=1984%2C2026" w:tgtFrame="_blank" w:history="1">
        <w:r w:rsidRPr="00060CB5">
          <w:rPr>
            <w:rStyle w:val="Hyperlink"/>
          </w:rPr>
          <w:t>https://apps.who.int/malaria/maps/threats/#/maps?theme=invasive&amp;mapType=invasive%3A0&amp;bounds=%5B%5B-143.10059402756775%2C-8.51273625028081%5D%2C%5B248.6471594556865%2C81.71317994319284%5D%5D&amp;insecticideClass=PYRETHROIDS&amp;insecticideTypes=&amp;assayTypes=MOLECULAR_ASSAY%2CBIOCHEMICAL_ASSAY%2CSYNERGIST-INSECTICIDE_BIOASSAY&amp;synergistTypes=&amp;species=&amp;vectorSpecies=&amp;surveyTypes=&amp;plasmodiumSpecies=&amp;drugs=&amp;mmType=1&amp;excludeLowerPatients=false&amp;excludeLowerSamples=false&amp;endemicity=false&amp;storyMode=false&amp;storyModeStep=0&amp;years=1984%2C2026</w:t>
        </w:r>
      </w:hyperlink>
      <w:r w:rsidRPr="00060CB5">
        <w:t> </w:t>
      </w:r>
    </w:p>
    <w:p w14:paraId="3C0AEED5" w14:textId="77777777" w:rsidR="00060CB5" w:rsidRPr="00060CB5" w:rsidRDefault="00060CB5" w:rsidP="00060CB5">
      <w:pPr>
        <w:pStyle w:val="FootnoteText"/>
      </w:pPr>
      <w:hyperlink r:id="rId2" w:tgtFrame="_blank" w:history="1">
        <w:r w:rsidRPr="00060CB5">
          <w:rPr>
            <w:rStyle w:val="Hyperlink"/>
          </w:rPr>
          <w:t>https://www.ecdc.europa.eu/en/disease-vectors/surveillance-and-disease-data/mosquito-maps</w:t>
        </w:r>
      </w:hyperlink>
      <w:r w:rsidRPr="00060CB5">
        <w:t> </w:t>
      </w:r>
    </w:p>
    <w:p w14:paraId="3648D666" w14:textId="0A793C6C" w:rsidR="00060CB5" w:rsidRPr="00060CB5" w:rsidRDefault="00060CB5">
      <w:pPr>
        <w:pStyle w:val="FootnoteText"/>
      </w:pPr>
    </w:p>
  </w:footnote>
  <w:footnote w:id="2">
    <w:p w14:paraId="0CB8D107" w14:textId="1BFA9980" w:rsidR="00060CB5" w:rsidRPr="00060CB5" w:rsidRDefault="00060CB5">
      <w:pPr>
        <w:pStyle w:val="FootnoteText"/>
      </w:pPr>
      <w:r>
        <w:rPr>
          <w:rStyle w:val="FootnoteReference"/>
        </w:rPr>
        <w:footnoteRef/>
      </w:r>
      <w:r>
        <w:t xml:space="preserve"> </w:t>
      </w:r>
      <w:r w:rsidRPr="00060CB5">
        <w:t> </w:t>
      </w:r>
      <w:hyperlink r:id="rId3" w:tgtFrame="_blank" w:history="1">
        <w:r w:rsidRPr="00060CB5">
          <w:rPr>
            <w:rStyle w:val="Hyperlink"/>
          </w:rPr>
          <w:t>https://www.spkc.gov.lv/lv/infekcijas-slimibu-apraksti</w:t>
        </w:r>
      </w:hyperlink>
      <w:r w:rsidRPr="00060CB5">
        <w:t>  </w:t>
      </w:r>
    </w:p>
  </w:footnote>
  <w:footnote w:id="3">
    <w:p w14:paraId="4BDB5CFC" w14:textId="151DED00" w:rsidR="00060CB5" w:rsidRPr="00060CB5" w:rsidRDefault="00060CB5">
      <w:pPr>
        <w:pStyle w:val="FootnoteText"/>
      </w:pPr>
      <w:r>
        <w:rPr>
          <w:rStyle w:val="FootnoteReference"/>
        </w:rPr>
        <w:footnoteRef/>
      </w:r>
      <w:r>
        <w:t xml:space="preserve"> </w:t>
      </w:r>
      <w:hyperlink r:id="rId4" w:history="1">
        <w:r w:rsidRPr="007232C8">
          <w:rPr>
            <w:rStyle w:val="Hyperlink"/>
          </w:rPr>
          <w:t>https://www.gov.uk/government/publications/malaria-prevention-guidelines-for-travellers-from-the-uk-2026/bite-prevention</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FE7"/>
    <w:multiLevelType w:val="multilevel"/>
    <w:tmpl w:val="5704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2D1881"/>
    <w:multiLevelType w:val="multilevel"/>
    <w:tmpl w:val="A2D2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1D1D0D"/>
    <w:multiLevelType w:val="multilevel"/>
    <w:tmpl w:val="7976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CD3743"/>
    <w:multiLevelType w:val="multilevel"/>
    <w:tmpl w:val="7890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7D006B"/>
    <w:multiLevelType w:val="multilevel"/>
    <w:tmpl w:val="7916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4C2F05"/>
    <w:multiLevelType w:val="multilevel"/>
    <w:tmpl w:val="0AC6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A17D55"/>
    <w:multiLevelType w:val="multilevel"/>
    <w:tmpl w:val="EEF8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CE1C3F"/>
    <w:multiLevelType w:val="multilevel"/>
    <w:tmpl w:val="B986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4A329D"/>
    <w:multiLevelType w:val="multilevel"/>
    <w:tmpl w:val="001A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5522C3"/>
    <w:multiLevelType w:val="multilevel"/>
    <w:tmpl w:val="7CDE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776723"/>
    <w:multiLevelType w:val="hybridMultilevel"/>
    <w:tmpl w:val="75C4787A"/>
    <w:lvl w:ilvl="0" w:tplc="6AF80A62">
      <w:start w:val="1"/>
      <w:numFmt w:val="decimal"/>
      <w:lvlText w:val="%1."/>
      <w:lvlJc w:val="left"/>
      <w:pPr>
        <w:ind w:left="720" w:hanging="360"/>
      </w:pPr>
      <w:rPr>
        <w:rFonts w:hint="default"/>
      </w:rPr>
    </w:lvl>
    <w:lvl w:ilvl="1" w:tplc="A6B86536">
      <w:start w:val="1"/>
      <w:numFmt w:val="lowerLetter"/>
      <w:lvlText w:val="%2."/>
      <w:lvlJc w:val="left"/>
      <w:pPr>
        <w:ind w:left="1440" w:hanging="360"/>
      </w:pPr>
    </w:lvl>
    <w:lvl w:ilvl="2" w:tplc="1D78CFCA" w:tentative="1">
      <w:start w:val="1"/>
      <w:numFmt w:val="lowerRoman"/>
      <w:lvlText w:val="%3."/>
      <w:lvlJc w:val="right"/>
      <w:pPr>
        <w:ind w:left="2160" w:hanging="180"/>
      </w:pPr>
    </w:lvl>
    <w:lvl w:ilvl="3" w:tplc="04768840" w:tentative="1">
      <w:start w:val="1"/>
      <w:numFmt w:val="decimal"/>
      <w:lvlText w:val="%4."/>
      <w:lvlJc w:val="left"/>
      <w:pPr>
        <w:ind w:left="2880" w:hanging="360"/>
      </w:pPr>
    </w:lvl>
    <w:lvl w:ilvl="4" w:tplc="9300CF8A" w:tentative="1">
      <w:start w:val="1"/>
      <w:numFmt w:val="lowerLetter"/>
      <w:lvlText w:val="%5."/>
      <w:lvlJc w:val="left"/>
      <w:pPr>
        <w:ind w:left="3600" w:hanging="360"/>
      </w:pPr>
    </w:lvl>
    <w:lvl w:ilvl="5" w:tplc="68B8DDF6" w:tentative="1">
      <w:start w:val="1"/>
      <w:numFmt w:val="lowerRoman"/>
      <w:lvlText w:val="%6."/>
      <w:lvlJc w:val="right"/>
      <w:pPr>
        <w:ind w:left="4320" w:hanging="180"/>
      </w:pPr>
    </w:lvl>
    <w:lvl w:ilvl="6" w:tplc="D910B9A6" w:tentative="1">
      <w:start w:val="1"/>
      <w:numFmt w:val="decimal"/>
      <w:lvlText w:val="%7."/>
      <w:lvlJc w:val="left"/>
      <w:pPr>
        <w:ind w:left="5040" w:hanging="360"/>
      </w:pPr>
    </w:lvl>
    <w:lvl w:ilvl="7" w:tplc="B90481AC" w:tentative="1">
      <w:start w:val="1"/>
      <w:numFmt w:val="lowerLetter"/>
      <w:lvlText w:val="%8."/>
      <w:lvlJc w:val="left"/>
      <w:pPr>
        <w:ind w:left="5760" w:hanging="360"/>
      </w:pPr>
    </w:lvl>
    <w:lvl w:ilvl="8" w:tplc="2CBED57C" w:tentative="1">
      <w:start w:val="1"/>
      <w:numFmt w:val="lowerRoman"/>
      <w:lvlText w:val="%9."/>
      <w:lvlJc w:val="right"/>
      <w:pPr>
        <w:ind w:left="6480" w:hanging="180"/>
      </w:pPr>
    </w:lvl>
  </w:abstractNum>
  <w:abstractNum w:abstractNumId="11" w15:restartNumberingAfterBreak="0">
    <w:nsid w:val="73DE5067"/>
    <w:multiLevelType w:val="multilevel"/>
    <w:tmpl w:val="84A4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6F4B7F"/>
    <w:multiLevelType w:val="multilevel"/>
    <w:tmpl w:val="FD12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E6A46"/>
    <w:multiLevelType w:val="multilevel"/>
    <w:tmpl w:val="8C2AC70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960722276">
    <w:abstractNumId w:val="10"/>
  </w:num>
  <w:num w:numId="2" w16cid:durableId="619871805">
    <w:abstractNumId w:val="13"/>
  </w:num>
  <w:num w:numId="3" w16cid:durableId="903442719">
    <w:abstractNumId w:val="0"/>
  </w:num>
  <w:num w:numId="4" w16cid:durableId="1839148545">
    <w:abstractNumId w:val="1"/>
  </w:num>
  <w:num w:numId="5" w16cid:durableId="1407997604">
    <w:abstractNumId w:val="2"/>
  </w:num>
  <w:num w:numId="6" w16cid:durableId="110439719">
    <w:abstractNumId w:val="4"/>
  </w:num>
  <w:num w:numId="7" w16cid:durableId="1401171883">
    <w:abstractNumId w:val="9"/>
  </w:num>
  <w:num w:numId="8" w16cid:durableId="540677573">
    <w:abstractNumId w:val="12"/>
  </w:num>
  <w:num w:numId="9" w16cid:durableId="1456414203">
    <w:abstractNumId w:val="7"/>
  </w:num>
  <w:num w:numId="10" w16cid:durableId="648485275">
    <w:abstractNumId w:val="8"/>
  </w:num>
  <w:num w:numId="11" w16cid:durableId="1648434241">
    <w:abstractNumId w:val="11"/>
  </w:num>
  <w:num w:numId="12" w16cid:durableId="1712028010">
    <w:abstractNumId w:val="5"/>
  </w:num>
  <w:num w:numId="13" w16cid:durableId="1658915780">
    <w:abstractNumId w:val="6"/>
  </w:num>
  <w:num w:numId="14" w16cid:durableId="647322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ACC"/>
    <w:rsid w:val="00020179"/>
    <w:rsid w:val="00060CB5"/>
    <w:rsid w:val="000D65D1"/>
    <w:rsid w:val="00112C48"/>
    <w:rsid w:val="00154B6E"/>
    <w:rsid w:val="00172A3B"/>
    <w:rsid w:val="00195A3A"/>
    <w:rsid w:val="001963C5"/>
    <w:rsid w:val="001B3C4F"/>
    <w:rsid w:val="001F3DE1"/>
    <w:rsid w:val="002079F2"/>
    <w:rsid w:val="00222B8B"/>
    <w:rsid w:val="00237C47"/>
    <w:rsid w:val="00247E9C"/>
    <w:rsid w:val="00280BAC"/>
    <w:rsid w:val="0031016C"/>
    <w:rsid w:val="00373C0C"/>
    <w:rsid w:val="00376EF5"/>
    <w:rsid w:val="003A5E2C"/>
    <w:rsid w:val="003E7BBE"/>
    <w:rsid w:val="003F2940"/>
    <w:rsid w:val="003F6412"/>
    <w:rsid w:val="00415D28"/>
    <w:rsid w:val="00443D6E"/>
    <w:rsid w:val="004568DF"/>
    <w:rsid w:val="00456D43"/>
    <w:rsid w:val="00477923"/>
    <w:rsid w:val="00480BD0"/>
    <w:rsid w:val="004A063D"/>
    <w:rsid w:val="004C200C"/>
    <w:rsid w:val="00505CA0"/>
    <w:rsid w:val="005249D9"/>
    <w:rsid w:val="0055269A"/>
    <w:rsid w:val="005603D1"/>
    <w:rsid w:val="00587CC8"/>
    <w:rsid w:val="005D3E87"/>
    <w:rsid w:val="006765DF"/>
    <w:rsid w:val="0069044B"/>
    <w:rsid w:val="006A3E8D"/>
    <w:rsid w:val="006D3FD6"/>
    <w:rsid w:val="007322A6"/>
    <w:rsid w:val="00784C77"/>
    <w:rsid w:val="007906BB"/>
    <w:rsid w:val="008220E2"/>
    <w:rsid w:val="00866D9D"/>
    <w:rsid w:val="00893003"/>
    <w:rsid w:val="008B15BC"/>
    <w:rsid w:val="008B6D06"/>
    <w:rsid w:val="008B742D"/>
    <w:rsid w:val="008C265B"/>
    <w:rsid w:val="00940FBE"/>
    <w:rsid w:val="00987215"/>
    <w:rsid w:val="00994AA3"/>
    <w:rsid w:val="009E26F3"/>
    <w:rsid w:val="00A130E9"/>
    <w:rsid w:val="00A23AAC"/>
    <w:rsid w:val="00A24A6B"/>
    <w:rsid w:val="00A277B8"/>
    <w:rsid w:val="00A91007"/>
    <w:rsid w:val="00B05611"/>
    <w:rsid w:val="00B16961"/>
    <w:rsid w:val="00B86B76"/>
    <w:rsid w:val="00BD762B"/>
    <w:rsid w:val="00BE7124"/>
    <w:rsid w:val="00BF3D96"/>
    <w:rsid w:val="00C12D6E"/>
    <w:rsid w:val="00C4438A"/>
    <w:rsid w:val="00C92245"/>
    <w:rsid w:val="00CA27BF"/>
    <w:rsid w:val="00CB0597"/>
    <w:rsid w:val="00CB2202"/>
    <w:rsid w:val="00CB77F0"/>
    <w:rsid w:val="00CC1A82"/>
    <w:rsid w:val="00CC4F90"/>
    <w:rsid w:val="00CD015F"/>
    <w:rsid w:val="00D5053F"/>
    <w:rsid w:val="00D831E1"/>
    <w:rsid w:val="00D92D62"/>
    <w:rsid w:val="00DC0153"/>
    <w:rsid w:val="00DC1881"/>
    <w:rsid w:val="00DE33E0"/>
    <w:rsid w:val="00E029CF"/>
    <w:rsid w:val="00E10BEB"/>
    <w:rsid w:val="00E33119"/>
    <w:rsid w:val="00E402D8"/>
    <w:rsid w:val="00E46716"/>
    <w:rsid w:val="00E46A48"/>
    <w:rsid w:val="00E55896"/>
    <w:rsid w:val="00E92ACC"/>
    <w:rsid w:val="00EC6B3B"/>
    <w:rsid w:val="00EE4551"/>
    <w:rsid w:val="00EE7EE5"/>
    <w:rsid w:val="00F0212A"/>
    <w:rsid w:val="00F84E4B"/>
    <w:rsid w:val="00FB54D0"/>
    <w:rsid w:val="00FE4CB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0D110"/>
  <w15:chartTrackingRefBased/>
  <w15:docId w15:val="{457F659D-D5EA-4E30-BD39-445F2339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A6B"/>
    <w:rPr>
      <w:rFonts w:eastAsia="Times New Roman"/>
      <w:lang w:eastAsia="en-US"/>
    </w:rPr>
  </w:style>
  <w:style w:type="paragraph" w:styleId="Heading1">
    <w:name w:val="heading 1"/>
    <w:basedOn w:val="Normal"/>
    <w:next w:val="Normal"/>
    <w:link w:val="Heading1Char"/>
    <w:uiPriority w:val="9"/>
    <w:qFormat/>
    <w:rsid w:val="00994AA3"/>
    <w:pPr>
      <w:keepNext/>
      <w:jc w:val="center"/>
      <w:outlineLvl w:val="0"/>
    </w:pPr>
    <w:rPr>
      <w:b/>
      <w:bCs/>
    </w:rPr>
  </w:style>
  <w:style w:type="paragraph" w:styleId="Heading2">
    <w:name w:val="heading 2"/>
    <w:basedOn w:val="Normal"/>
    <w:next w:val="Normal"/>
    <w:link w:val="Heading2Char"/>
    <w:qFormat/>
    <w:rsid w:val="00994AA3"/>
    <w:pPr>
      <w:keepNext/>
      <w:tabs>
        <w:tab w:val="num" w:pos="495"/>
      </w:tabs>
      <w:ind w:left="495" w:hanging="495"/>
      <w:outlineLvl w:val="1"/>
    </w:pPr>
    <w:rPr>
      <w:b/>
    </w:rPr>
  </w:style>
  <w:style w:type="paragraph" w:styleId="Heading3">
    <w:name w:val="heading 3"/>
    <w:basedOn w:val="Normal"/>
    <w:next w:val="Normal"/>
    <w:link w:val="Heading3Char"/>
    <w:qFormat/>
    <w:rsid w:val="00994AA3"/>
    <w:pPr>
      <w:keepNext/>
      <w:outlineLvl w:val="2"/>
    </w:pPr>
    <w:rPr>
      <w:b/>
      <w:color w:val="FF0000"/>
      <w:sz w:val="44"/>
    </w:rPr>
  </w:style>
  <w:style w:type="paragraph" w:styleId="Heading4">
    <w:name w:val="heading 4"/>
    <w:basedOn w:val="Normal"/>
    <w:link w:val="Heading4Char"/>
    <w:uiPriority w:val="9"/>
    <w:qFormat/>
    <w:rsid w:val="00994AA3"/>
    <w:pPr>
      <w:spacing w:before="100" w:beforeAutospacing="1" w:after="100" w:afterAutospacing="1"/>
      <w:outlineLvl w:val="3"/>
    </w:pPr>
    <w:rPr>
      <w:b/>
      <w:bCs/>
    </w:rPr>
  </w:style>
  <w:style w:type="paragraph" w:styleId="Heading5">
    <w:name w:val="heading 5"/>
    <w:basedOn w:val="Normal"/>
    <w:next w:val="Normal"/>
    <w:link w:val="Heading5Char"/>
    <w:uiPriority w:val="9"/>
    <w:qFormat/>
    <w:rsid w:val="00994AA3"/>
    <w:pPr>
      <w:spacing w:before="240" w:after="60"/>
      <w:outlineLvl w:val="4"/>
    </w:pPr>
    <w:rPr>
      <w:rFonts w:ascii="Calibri" w:hAnsi="Calibri"/>
      <w:b/>
      <w:bCs/>
      <w:i/>
      <w:iCs/>
      <w:sz w:val="26"/>
      <w:szCs w:val="26"/>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94AA3"/>
    <w:rPr>
      <w:b/>
      <w:bCs/>
      <w:sz w:val="24"/>
      <w:szCs w:val="24"/>
    </w:rPr>
  </w:style>
  <w:style w:type="character" w:customStyle="1" w:styleId="Heading2Char">
    <w:name w:val="Heading 2 Char"/>
    <w:link w:val="Heading2"/>
    <w:rsid w:val="00994AA3"/>
    <w:rPr>
      <w:b/>
      <w:sz w:val="24"/>
    </w:rPr>
  </w:style>
  <w:style w:type="character" w:customStyle="1" w:styleId="Heading3Char">
    <w:name w:val="Heading 3 Char"/>
    <w:link w:val="Heading3"/>
    <w:rsid w:val="00994AA3"/>
    <w:rPr>
      <w:b/>
      <w:color w:val="FF0000"/>
      <w:sz w:val="44"/>
    </w:rPr>
  </w:style>
  <w:style w:type="character" w:customStyle="1" w:styleId="Heading4Char">
    <w:name w:val="Heading 4 Char"/>
    <w:link w:val="Heading4"/>
    <w:uiPriority w:val="9"/>
    <w:rsid w:val="00994AA3"/>
    <w:rPr>
      <w:b/>
      <w:bCs/>
      <w:sz w:val="24"/>
      <w:szCs w:val="24"/>
    </w:rPr>
  </w:style>
  <w:style w:type="character" w:customStyle="1" w:styleId="Heading5Char">
    <w:name w:val="Heading 5 Char"/>
    <w:link w:val="Heading5"/>
    <w:uiPriority w:val="9"/>
    <w:rsid w:val="00994AA3"/>
    <w:rPr>
      <w:rFonts w:ascii="Calibri" w:hAnsi="Calibri"/>
      <w:b/>
      <w:bCs/>
      <w:i/>
      <w:iCs/>
      <w:sz w:val="26"/>
      <w:szCs w:val="26"/>
      <w:lang w:val="en-AU" w:eastAsia="x-none"/>
    </w:rPr>
  </w:style>
  <w:style w:type="paragraph" w:styleId="NoSpacing">
    <w:name w:val="No Spacing"/>
    <w:uiPriority w:val="1"/>
    <w:qFormat/>
    <w:rsid w:val="00994AA3"/>
    <w:rPr>
      <w:rFonts w:ascii="Calibri" w:hAnsi="Calibri"/>
      <w:sz w:val="22"/>
      <w:szCs w:val="22"/>
      <w:lang w:eastAsia="en-US"/>
    </w:rPr>
  </w:style>
  <w:style w:type="paragraph" w:styleId="ListParagraph">
    <w:name w:val="List Paragraph"/>
    <w:basedOn w:val="Normal"/>
    <w:uiPriority w:val="34"/>
    <w:qFormat/>
    <w:rsid w:val="00994AA3"/>
    <w:pPr>
      <w:spacing w:after="200" w:line="276" w:lineRule="auto"/>
      <w:ind w:left="720"/>
      <w:contextualSpacing/>
    </w:pPr>
    <w:rPr>
      <w:rFonts w:ascii="Calibri" w:hAnsi="Calibri"/>
      <w:sz w:val="22"/>
      <w:szCs w:val="22"/>
    </w:rPr>
  </w:style>
  <w:style w:type="paragraph" w:styleId="Quote">
    <w:name w:val="Quote"/>
    <w:basedOn w:val="Normal"/>
    <w:next w:val="Normal"/>
    <w:link w:val="QuoteChar"/>
    <w:uiPriority w:val="29"/>
    <w:qFormat/>
    <w:rsid w:val="00994AA3"/>
    <w:rPr>
      <w:i/>
      <w:sz w:val="28"/>
      <w:szCs w:val="28"/>
    </w:rPr>
  </w:style>
  <w:style w:type="character" w:customStyle="1" w:styleId="QuoteChar">
    <w:name w:val="Quote Char"/>
    <w:link w:val="Quote"/>
    <w:uiPriority w:val="29"/>
    <w:rsid w:val="00994AA3"/>
    <w:rPr>
      <w:i/>
      <w:sz w:val="28"/>
      <w:szCs w:val="28"/>
    </w:rPr>
  </w:style>
  <w:style w:type="paragraph" w:styleId="Header">
    <w:name w:val="header"/>
    <w:basedOn w:val="Normal"/>
    <w:link w:val="HeaderChar"/>
    <w:rsid w:val="00A24A6B"/>
    <w:pPr>
      <w:tabs>
        <w:tab w:val="center" w:pos="4320"/>
        <w:tab w:val="right" w:pos="8640"/>
      </w:tabs>
    </w:pPr>
    <w:rPr>
      <w:rFonts w:ascii="Arial" w:hAnsi="Arial"/>
      <w:sz w:val="24"/>
    </w:rPr>
  </w:style>
  <w:style w:type="character" w:customStyle="1" w:styleId="HeaderChar">
    <w:name w:val="Header Char"/>
    <w:link w:val="Header"/>
    <w:rsid w:val="00A24A6B"/>
    <w:rPr>
      <w:rFonts w:ascii="Arial" w:eastAsia="Times New Roman" w:hAnsi="Arial"/>
      <w:sz w:val="24"/>
      <w:lang w:eastAsia="en-US"/>
    </w:rPr>
  </w:style>
  <w:style w:type="table" w:styleId="TableGrid">
    <w:name w:val="Table Grid"/>
    <w:basedOn w:val="TableNormal"/>
    <w:uiPriority w:val="59"/>
    <w:rsid w:val="00A91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015F"/>
    <w:pPr>
      <w:tabs>
        <w:tab w:val="center" w:pos="4153"/>
        <w:tab w:val="right" w:pos="8306"/>
      </w:tabs>
    </w:pPr>
  </w:style>
  <w:style w:type="character" w:customStyle="1" w:styleId="FooterChar">
    <w:name w:val="Footer Char"/>
    <w:link w:val="Footer"/>
    <w:uiPriority w:val="99"/>
    <w:rsid w:val="00CD015F"/>
    <w:rPr>
      <w:rFonts w:eastAsia="Times New Roman"/>
      <w:lang w:eastAsia="en-US"/>
    </w:rPr>
  </w:style>
  <w:style w:type="paragraph" w:customStyle="1" w:styleId="BodyB">
    <w:name w:val="Body B"/>
    <w:rsid w:val="002079F2"/>
    <w:pPr>
      <w:pBdr>
        <w:top w:val="nil"/>
        <w:left w:val="nil"/>
        <w:bottom w:val="nil"/>
        <w:right w:val="nil"/>
        <w:between w:val="nil"/>
        <w:bar w:val="nil"/>
      </w:pBdr>
    </w:pPr>
    <w:rPr>
      <w:rFonts w:eastAsia="Arial Unicode MS" w:cs="Arial Unicode MS"/>
      <w:color w:val="000000"/>
      <w:sz w:val="24"/>
      <w:szCs w:val="24"/>
      <w:u w:color="000000"/>
      <w:bdr w:val="nil"/>
    </w:rPr>
  </w:style>
  <w:style w:type="paragraph" w:customStyle="1" w:styleId="paragraph">
    <w:name w:val="paragraph"/>
    <w:basedOn w:val="Normal"/>
    <w:rsid w:val="00060CB5"/>
    <w:pPr>
      <w:spacing w:before="100" w:beforeAutospacing="1" w:after="100" w:afterAutospacing="1"/>
    </w:pPr>
    <w:rPr>
      <w:sz w:val="24"/>
      <w:szCs w:val="24"/>
      <w:lang w:eastAsia="lv-LV"/>
    </w:rPr>
  </w:style>
  <w:style w:type="character" w:customStyle="1" w:styleId="normaltextrun">
    <w:name w:val="normaltextrun"/>
    <w:basedOn w:val="DefaultParagraphFont"/>
    <w:rsid w:val="00060CB5"/>
  </w:style>
  <w:style w:type="character" w:customStyle="1" w:styleId="superscript">
    <w:name w:val="superscript"/>
    <w:basedOn w:val="DefaultParagraphFont"/>
    <w:rsid w:val="00060CB5"/>
  </w:style>
  <w:style w:type="character" w:customStyle="1" w:styleId="eop">
    <w:name w:val="eop"/>
    <w:basedOn w:val="DefaultParagraphFont"/>
    <w:rsid w:val="00060CB5"/>
  </w:style>
  <w:style w:type="paragraph" w:styleId="FootnoteText">
    <w:name w:val="footnote text"/>
    <w:basedOn w:val="Normal"/>
    <w:link w:val="FootnoteTextChar"/>
    <w:uiPriority w:val="99"/>
    <w:semiHidden/>
    <w:unhideWhenUsed/>
    <w:rsid w:val="00060CB5"/>
  </w:style>
  <w:style w:type="character" w:customStyle="1" w:styleId="FootnoteTextChar">
    <w:name w:val="Footnote Text Char"/>
    <w:basedOn w:val="DefaultParagraphFont"/>
    <w:link w:val="FootnoteText"/>
    <w:uiPriority w:val="99"/>
    <w:semiHidden/>
    <w:rsid w:val="00060CB5"/>
    <w:rPr>
      <w:rFonts w:eastAsia="Times New Roman"/>
      <w:lang w:eastAsia="en-US"/>
    </w:rPr>
  </w:style>
  <w:style w:type="character" w:styleId="FootnoteReference">
    <w:name w:val="footnote reference"/>
    <w:basedOn w:val="DefaultParagraphFont"/>
    <w:uiPriority w:val="99"/>
    <w:semiHidden/>
    <w:unhideWhenUsed/>
    <w:rsid w:val="00060CB5"/>
    <w:rPr>
      <w:vertAlign w:val="superscript"/>
    </w:rPr>
  </w:style>
  <w:style w:type="character" w:styleId="Hyperlink">
    <w:name w:val="Hyperlink"/>
    <w:basedOn w:val="DefaultParagraphFont"/>
    <w:uiPriority w:val="99"/>
    <w:unhideWhenUsed/>
    <w:rsid w:val="00060CB5"/>
    <w:rPr>
      <w:color w:val="0563C1" w:themeColor="hyperlink"/>
      <w:u w:val="single"/>
    </w:rPr>
  </w:style>
  <w:style w:type="character" w:styleId="UnresolvedMention">
    <w:name w:val="Unresolved Mention"/>
    <w:basedOn w:val="DefaultParagraphFont"/>
    <w:uiPriority w:val="99"/>
    <w:semiHidden/>
    <w:unhideWhenUsed/>
    <w:rsid w:val="00060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pkc.gov.lv/lv/infekcijas-slimibu-apraksti" TargetMode="External"/><Relationship Id="rId2" Type="http://schemas.openxmlformats.org/officeDocument/2006/relationships/hyperlink" Target="https://www.ecdc.europa.eu/en/disease-vectors/surveillance-and-disease-data/mosquito-maps" TargetMode="External"/><Relationship Id="rId1" Type="http://schemas.openxmlformats.org/officeDocument/2006/relationships/hyperlink" Target="https://apps.who.int/malaria/maps/threats/" TargetMode="External"/><Relationship Id="rId4" Type="http://schemas.openxmlformats.org/officeDocument/2006/relationships/hyperlink" Target="https://www.gov.uk/government/publications/malaria-prevention-guidelines-for-travellers-from-the-uk-2026/bite-preven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a.purenina\Desktop\SPKC\4_vestule_elektroniskais_paraksts_valsts_valoda_pilnkrasu.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FA93-A3C2-4CE9-9964-197DBA4DE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4_vestule_elektroniskais_paraksts_valsts_valoda_pilnkrasu</Template>
  <TotalTime>15</TotalTime>
  <Pages>2</Pages>
  <Words>2755</Words>
  <Characters>1571</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Pavlovica</dc:creator>
  <cp:lastModifiedBy>Elīna Brangule</cp:lastModifiedBy>
  <cp:revision>9</cp:revision>
  <cp:lastPrinted>2016-02-15T06:53:00Z</cp:lastPrinted>
  <dcterms:created xsi:type="dcterms:W3CDTF">2020-02-27T07:31:00Z</dcterms:created>
  <dcterms:modified xsi:type="dcterms:W3CDTF">2026-09-30T11:13:00Z</dcterms:modified>
</cp:coreProperties>
</file>