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A97EF">
      <w:pPr>
        <w:spacing w:before="360"/>
        <w:jc w:val="center"/>
        <w:rPr>
          <w:sz w:val="17"/>
          <w:szCs w:val="17"/>
        </w:rPr>
      </w:pPr>
      <w:r>
        <w:rPr>
          <w:lang w:eastAsia="lv-LV"/>
        </w:rPr>
        <w:drawing>
          <wp:anchor distT="0" distB="0" distL="114300" distR="114300" simplePos="0" relativeHeight="251660288" behindDoc="1" locked="0" layoutInCell="1" allowOverlap="1">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68645" cy="1032510"/>
                    </a:xfrm>
                    <a:prstGeom prst="rect">
                      <a:avLst/>
                    </a:prstGeom>
                    <a:noFill/>
                  </pic:spPr>
                </pic:pic>
              </a:graphicData>
            </a:graphic>
          </wp:anchor>
        </w:drawing>
      </w:r>
      <w:r>
        <w:rPr>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ln>
                        </wps:spPr>
                        <wps:bodyPr rot="0" vert="horz" wrap="square" lIns="91440" tIns="45720" rIns="91440" bIns="45720" anchor="t" anchorCtr="0" upright="1"/>
                      </wps:wsp>
                    </wpg:wgp>
                  </a:graphicData>
                </a:graphic>
              </wp:anchor>
            </w:drawing>
          </mc:Choice>
          <mc:Fallback>
            <w:pict>
              <v:group id="Group 41" o:spid="_x0000_s1026" o:spt="203" style="position:absolute;left:0pt;margin-left:145.7pt;margin-top:150.5pt;height:0.1pt;width:346.25pt;mso-position-horizontal-relative:page;mso-position-vertical-relative:page;z-index:-251657216;mso-width-relative:page;mso-height-relative:page;" coordorigin="2915,2998" coordsize="6926,2" o:gfxdata="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CQ3kRR2gAAAAsBAAAPAAAAAAAA&#10;AAEAIAAAACIAAABkcnMvZG93bnJldi54bWxQSwECFAAUAAAACACHTuJAf+ZJT/QCAADSBgAADgAA&#10;AAAAAAABACAAAAApAQAAZHJzL2Uyb0RvYy54bWxQSwUGAAAAAAYABgBZAQAAjwYAAAAA&#10;">
                <o:lock v:ext="edit" aspectratio="f"/>
                <v:shape id="Freeform 42" o:spid="_x0000_s1026" o:spt="100" style="position:absolute;left:2915;top:2998;height:2;width:6926;" filled="f" stroked="t" coordsize="6926,1" o:gfxdata="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ji1i8AAAA&#10;2gAAAA8AAAAAAAAAAQAgAAAAIgAAAGRycy9kb3ducmV2LnhtbFBLAQIUABQAAAAIAIdO4kAzLwWe&#10;OwAAADkAAAAQAAAAAAAAAAEAIAAAAAsBAABkcnMvc2hhcGV4bWwueG1sUEsFBgAAAAAGAAYAWwEA&#10;ALUDAAAAAA==&#10;" path="m0,0l6926,0e">
                  <v:path o:connectlocs="0,0;6926,0" o:connectangles="0,0"/>
                  <v:fill on="f" focussize="0,0"/>
                  <v:stroke weight="0.25pt" color="#231F20" joinstyle="round"/>
                  <v:imagedata o:title=""/>
                  <o:lock v:ext="edit" aspectratio="f"/>
                </v:shape>
              </v:group>
            </w:pict>
          </mc:Fallback>
        </mc:AlternateContent>
      </w:r>
      <w:r>
        <w:rPr>
          <w:color w:val="231F20"/>
          <w:sz w:val="17"/>
          <w:szCs w:val="17"/>
        </w:rPr>
        <w:t>Duntes iela 22, K-5, Rīga, LV-1005, tālr. 67501590, fakss 67501591, e-pasts pasts@spkc.gov.lv</w:t>
      </w:r>
    </w:p>
    <w:p w14:paraId="6CB3AD86">
      <w:pPr>
        <w:pStyle w:val="12"/>
        <w:tabs>
          <w:tab w:val="clear" w:pos="4320"/>
        </w:tabs>
        <w:spacing w:before="480" w:after="480"/>
        <w:jc w:val="center"/>
        <w:rPr>
          <w:rFonts w:ascii="Times New Roman" w:hAnsi="Times New Roman"/>
        </w:rPr>
      </w:pPr>
      <w:r>
        <w:rPr>
          <w:rFonts w:ascii="Times New Roman" w:hAnsi="Times New Roman"/>
        </w:rPr>
        <w:t xml:space="preserve">Rīgā </w:t>
      </w:r>
    </w:p>
    <w:p w14:paraId="009098EA">
      <w:pPr>
        <w:pStyle w:val="12"/>
        <w:tabs>
          <w:tab w:val="clear" w:pos="4320"/>
          <w:tab w:val="clear" w:pos="8640"/>
        </w:tabs>
        <w:spacing w:before="480" w:after="480"/>
        <w:ind w:right="4535"/>
        <w:jc w:val="both"/>
        <w:rPr>
          <w:rFonts w:ascii="Times New Roman" w:hAnsi="Times New Roman"/>
          <w:b/>
          <w:i/>
        </w:rPr>
      </w:pPr>
      <w:r>
        <w:rPr>
          <w:rFonts w:ascii="Times New Roman" w:hAnsi="Times New Roman"/>
          <w:b/>
          <w:i/>
        </w:rPr>
        <w:t>Par Andu hantavīrusa infekciju</w:t>
      </w:r>
    </w:p>
    <w:p w14:paraId="60BD5524">
      <w:pPr>
        <w:tabs>
          <w:tab w:val="left" w:pos="6804"/>
        </w:tabs>
        <w:ind w:firstLine="720"/>
        <w:jc w:val="both"/>
        <w:rPr>
          <w:sz w:val="24"/>
          <w:szCs w:val="24"/>
          <w:lang w:eastAsia="ja-JP"/>
        </w:rPr>
      </w:pPr>
      <w:r>
        <w:rPr>
          <w:sz w:val="24"/>
          <w:szCs w:val="24"/>
          <w:lang w:eastAsia="ja-JP"/>
        </w:rPr>
        <w:t>Slimību profilakses un kontroles centrs (turpmāk – Centrs) informē, ka 2026. gada 2. maijā starptautiskās sabiedrības veselības uzraudzības ietvaros tika reģistrēts Andu hantavīrusa (turpmāk – ANDV) infekcijas uzliesmojums, kas saistīts ar kruīza kuģi “M/V Hondius”. Līdz 2026. gada 11. maijam tika ziņots par deviņiem ANDV infekcijas gadījumiem (septiņi apstiprināti un divi varbūtīgi), tostarp trim letāliem gadījumiem un vienu kritiskā veselības stāvoklī esošu pacientu. Saistībā ar uzliesmojumu tiek īstenoti starptautiski infekcijas kontroles un kontaktpersonu uzraudzības pasākumi.</w:t>
      </w:r>
    </w:p>
    <w:p w14:paraId="5A7842E9">
      <w:pPr>
        <w:tabs>
          <w:tab w:val="left" w:pos="6804"/>
        </w:tabs>
        <w:ind w:firstLine="720"/>
        <w:jc w:val="both"/>
        <w:rPr>
          <w:sz w:val="24"/>
          <w:szCs w:val="24"/>
          <w:lang w:eastAsia="ja-JP"/>
        </w:rPr>
      </w:pPr>
      <w:r>
        <w:rPr>
          <w:sz w:val="24"/>
          <w:szCs w:val="24"/>
          <w:lang w:eastAsia="ja-JP"/>
        </w:rPr>
        <w:t>ANDV ir endēmisks tādos Dienvidamerikas reģionos kā Argentīna un Čīle. ANDV izraisa hantavīrusu plaušu sindromu, kam raksturīga smaga norise un augsta letalitāte. Tas ir vienīgais hantavīruss, kuram ir pierādīta pārnese no cilvēka uz cilvēku, īpaši cieša un ilgstoša kontakta apstākļos. Lai gan plašas ANDV transmisijas risks Eiropas Savienības un Eiropas Ekonomikas zonas valstīs pašlaik tiek vērtēts kā ļoti zems, veselības aprūpes iestādēm jābūt gatavām iespējamiem ievestiem ANDV infekcijas gadījumiem ceļotāju vidū, tostarp aviopasažieriem, kuri lidojuma laikā bijuši kontaktā ar infekcijas skarta kruīza kuģa pasažieriem. Šāda iespējamība ir ārkārtīgi zema, tomēr to nevar pilnībā izslēgt. Centrs seko starptautisko epidemioloģiskās uzraudzības tīklu ziņojumiem, lai savlaicīgi reaģētu gadījumā, ja tiktu saņemta informācija par Latvijas iedzīvotāju, kurš lidojuma laikā bijis kontaktā ar personu no infekcijas skartā kuģa pasažieriem vai apkalpes locekļiem.</w:t>
      </w:r>
    </w:p>
    <w:p w14:paraId="52ABBE08">
      <w:pPr>
        <w:spacing w:before="240" w:after="240"/>
        <w:jc w:val="both"/>
        <w:rPr>
          <w:rFonts w:eastAsia="MS Mincho"/>
          <w:sz w:val="24"/>
          <w:szCs w:val="24"/>
          <w:lang w:eastAsia="ja-JP"/>
        </w:rPr>
      </w:pPr>
      <w:r>
        <w:rPr>
          <w:b/>
          <w:bCs/>
          <w:sz w:val="24"/>
          <w:szCs w:val="24"/>
          <w:lang w:eastAsia="ja-JP"/>
        </w:rPr>
        <w:t>ANDV infekcijas inkubācijas periods</w:t>
      </w:r>
      <w:r>
        <w:rPr>
          <w:sz w:val="24"/>
          <w:szCs w:val="24"/>
          <w:lang w:eastAsia="ja-JP"/>
        </w:rPr>
        <w:t>: 1–6 nedēļas (visbiežāk 2–4 nedēļas, mediāna 18 dienas).</w:t>
      </w:r>
    </w:p>
    <w:p w14:paraId="21A62D7F">
      <w:pPr>
        <w:spacing w:before="240" w:after="240"/>
        <w:jc w:val="both"/>
        <w:rPr>
          <w:sz w:val="24"/>
          <w:szCs w:val="24"/>
          <w:lang w:eastAsia="ja-JP"/>
        </w:rPr>
      </w:pPr>
      <w:r>
        <w:rPr>
          <w:b/>
          <w:bCs/>
          <w:sz w:val="24"/>
          <w:szCs w:val="24"/>
          <w:lang w:eastAsia="ja-JP"/>
        </w:rPr>
        <w:t>ANDV infekcijas infekciozais periods</w:t>
      </w:r>
      <w:r>
        <w:rPr>
          <w:sz w:val="24"/>
          <w:szCs w:val="24"/>
          <w:lang w:eastAsia="ja-JP"/>
        </w:rPr>
        <w:t>: no simptomu sākuma līdz izveseļošanai vai nāvei. Augstākās infekciozitātes periods ir no simptomu parādīšanās sākuma (agrīnā drudža fāze) līdz simptomātiskajai fāzei (aptuveni viena nedēļa). Lai gan pirms simptomu parādīšanās transmisija nav pierādīta, piesardzības nolūkos kontaktpersonu izsekošana tiek veikta jau divas dienas pirms simptomu sākuma.</w:t>
      </w:r>
    </w:p>
    <w:p w14:paraId="7F2C2CE3">
      <w:pPr>
        <w:spacing w:before="240" w:after="240"/>
        <w:jc w:val="both"/>
        <w:rPr>
          <w:sz w:val="24"/>
          <w:szCs w:val="24"/>
          <w:lang w:eastAsia="ja-JP"/>
        </w:rPr>
      </w:pPr>
      <w:r>
        <w:rPr>
          <w:b/>
          <w:bCs/>
          <w:sz w:val="24"/>
          <w:szCs w:val="24"/>
          <w:lang w:eastAsia="ja-JP"/>
        </w:rPr>
        <w:t>Infekciozais materiāls</w:t>
      </w:r>
      <w:r>
        <w:rPr>
          <w:sz w:val="24"/>
          <w:szCs w:val="24"/>
          <w:lang w:eastAsia="ja-JP"/>
        </w:rPr>
        <w:t>: elpceļu sekrēti, siekalas, asinis un citi ķermeņa šķidrumi.</w:t>
      </w:r>
    </w:p>
    <w:p w14:paraId="5CC2F2CE">
      <w:pPr>
        <w:spacing w:before="240" w:after="240"/>
        <w:jc w:val="both"/>
        <w:rPr>
          <w:b/>
          <w:bCs/>
          <w:sz w:val="24"/>
          <w:szCs w:val="24"/>
          <w:lang w:eastAsia="ja-JP"/>
        </w:rPr>
      </w:pPr>
      <w:r>
        <w:rPr>
          <w:b/>
          <w:bCs/>
          <w:sz w:val="24"/>
          <w:szCs w:val="24"/>
          <w:lang w:eastAsia="ja-JP"/>
        </w:rPr>
        <w:t>ANDV gadījumu klasifikācija</w:t>
      </w:r>
    </w:p>
    <w:p w14:paraId="3DE9A9DE">
      <w:pPr>
        <w:spacing w:before="240" w:after="240"/>
        <w:ind w:left="810"/>
        <w:rPr>
          <w:rFonts w:eastAsia="MS Mincho"/>
          <w:sz w:val="24"/>
          <w:szCs w:val="24"/>
          <w:lang w:eastAsia="ja-JP"/>
        </w:rPr>
      </w:pPr>
      <w:r>
        <w:rPr>
          <w:rFonts w:eastAsia="MS Mincho"/>
          <w:b/>
          <w:bCs/>
          <w:sz w:val="24"/>
          <w:szCs w:val="24"/>
          <w:lang w:eastAsia="ja-JP"/>
        </w:rPr>
        <w:t>Aizdomīgs ANDV infekcijas gadījums</w:t>
      </w:r>
      <w:r>
        <w:rPr>
          <w:rFonts w:eastAsia="MS Mincho"/>
          <w:sz w:val="24"/>
          <w:szCs w:val="24"/>
          <w:lang w:eastAsia="ja-JP"/>
        </w:rPr>
        <w:t>:</w:t>
      </w:r>
      <w:r>
        <w:rPr>
          <w:rFonts w:eastAsia="MS Mincho"/>
          <w:sz w:val="24"/>
          <w:szCs w:val="24"/>
          <w:lang w:eastAsia="ja-JP"/>
        </w:rPr>
        <w:br w:type="textWrapping"/>
      </w:r>
      <w:r>
        <w:rPr>
          <w:rFonts w:eastAsia="MS Mincho"/>
          <w:sz w:val="24"/>
          <w:szCs w:val="24"/>
          <w:lang w:eastAsia="ja-JP"/>
        </w:rPr>
        <w:t>persona, kas atradusies vai apmeklējusi transportlīdzekli (piemēram, kuģi, lidmašīnu), kur bijis apstiprināts vai iespējams ANDV gadījums, UN kurai ir akūti simptomi (vai bijuši simptomi), kas atbilst ANDV infekcijai, tostarp:</w:t>
      </w:r>
    </w:p>
    <w:p w14:paraId="48268C1B">
      <w:pPr>
        <w:numPr>
          <w:ilvl w:val="0"/>
          <w:numId w:val="1"/>
        </w:numPr>
        <w:tabs>
          <w:tab w:val="left" w:pos="1350"/>
        </w:tabs>
        <w:spacing w:after="160" w:line="279" w:lineRule="auto"/>
        <w:ind w:left="810" w:firstLine="360"/>
        <w:jc w:val="both"/>
        <w:rPr>
          <w:sz w:val="24"/>
          <w:szCs w:val="24"/>
          <w:lang w:eastAsia="ja-JP"/>
        </w:rPr>
      </w:pPr>
      <w:r>
        <w:rPr>
          <w:rFonts w:eastAsia="MS Mincho"/>
          <w:sz w:val="24"/>
          <w:szCs w:val="24"/>
          <w:lang w:eastAsia="ja-JP"/>
        </w:rPr>
        <w:t>drudzis (≥38°C),</w:t>
      </w:r>
    </w:p>
    <w:p w14:paraId="09D9B537">
      <w:pPr>
        <w:numPr>
          <w:ilvl w:val="0"/>
          <w:numId w:val="1"/>
        </w:numPr>
        <w:tabs>
          <w:tab w:val="left" w:pos="1350"/>
        </w:tabs>
        <w:spacing w:after="160" w:line="279" w:lineRule="auto"/>
        <w:ind w:left="810" w:firstLine="360"/>
        <w:jc w:val="both"/>
        <w:rPr>
          <w:sz w:val="24"/>
          <w:szCs w:val="24"/>
          <w:lang w:eastAsia="ja-JP"/>
        </w:rPr>
      </w:pPr>
      <w:r>
        <w:rPr>
          <w:rFonts w:eastAsia="MS Mincho"/>
          <w:sz w:val="24"/>
          <w:szCs w:val="24"/>
          <w:lang w:eastAsia="ja-JP"/>
        </w:rPr>
        <w:t>muskuļu sāpes,</w:t>
      </w:r>
    </w:p>
    <w:p w14:paraId="0009A473">
      <w:pPr>
        <w:numPr>
          <w:ilvl w:val="0"/>
          <w:numId w:val="1"/>
        </w:numPr>
        <w:tabs>
          <w:tab w:val="left" w:pos="1350"/>
        </w:tabs>
        <w:spacing w:after="160" w:line="279" w:lineRule="auto"/>
        <w:ind w:left="810" w:firstLine="360"/>
        <w:jc w:val="both"/>
        <w:rPr>
          <w:sz w:val="24"/>
          <w:szCs w:val="24"/>
          <w:lang w:eastAsia="ja-JP"/>
        </w:rPr>
      </w:pPr>
      <w:r>
        <w:rPr>
          <w:rFonts w:eastAsia="MS Mincho"/>
          <w:sz w:val="24"/>
          <w:szCs w:val="24"/>
          <w:lang w:eastAsia="ja-JP"/>
        </w:rPr>
        <w:t>drebuļi,</w:t>
      </w:r>
    </w:p>
    <w:p w14:paraId="0CF67C5D">
      <w:pPr>
        <w:numPr>
          <w:ilvl w:val="0"/>
          <w:numId w:val="1"/>
        </w:numPr>
        <w:tabs>
          <w:tab w:val="left" w:pos="1350"/>
        </w:tabs>
        <w:spacing w:after="160" w:line="279" w:lineRule="auto"/>
        <w:ind w:left="810" w:firstLine="360"/>
        <w:jc w:val="both"/>
        <w:rPr>
          <w:sz w:val="24"/>
          <w:szCs w:val="24"/>
          <w:lang w:eastAsia="ja-JP"/>
        </w:rPr>
      </w:pPr>
      <w:r>
        <w:rPr>
          <w:rFonts w:eastAsia="MS Mincho"/>
          <w:sz w:val="24"/>
          <w:szCs w:val="24"/>
          <w:lang w:eastAsia="ja-JP"/>
        </w:rPr>
        <w:t>akūti zarnu simptomi (slikta dūša, vemšana, caureja, vēdera sāpes) ,</w:t>
      </w:r>
    </w:p>
    <w:p w14:paraId="670DB22F">
      <w:pPr>
        <w:numPr>
          <w:ilvl w:val="0"/>
          <w:numId w:val="1"/>
        </w:numPr>
        <w:tabs>
          <w:tab w:val="left" w:pos="1350"/>
        </w:tabs>
        <w:spacing w:after="160" w:line="279" w:lineRule="auto"/>
        <w:ind w:left="810" w:firstLine="360"/>
        <w:jc w:val="both"/>
        <w:rPr>
          <w:sz w:val="24"/>
          <w:szCs w:val="24"/>
          <w:lang w:eastAsia="ja-JP"/>
        </w:rPr>
      </w:pPr>
      <w:r>
        <w:rPr>
          <w:rFonts w:eastAsia="MS Mincho"/>
          <w:sz w:val="24"/>
          <w:szCs w:val="24"/>
          <w:lang w:eastAsia="ja-JP"/>
        </w:rPr>
        <w:t>akūti elpceļu simptomi (klepus, elpas trūkums, sāpes krūtīs, apgrūtināta elpošana).</w:t>
      </w:r>
    </w:p>
    <w:p w14:paraId="137997A0">
      <w:pPr>
        <w:spacing w:after="160"/>
        <w:ind w:firstLine="90"/>
        <w:rPr>
          <w:b/>
          <w:bCs/>
          <w:sz w:val="24"/>
          <w:szCs w:val="24"/>
          <w:lang w:val="lv" w:eastAsia="ja-JP"/>
        </w:rPr>
      </w:pPr>
    </w:p>
    <w:p w14:paraId="3ABAA1A1">
      <w:pPr>
        <w:spacing w:after="160"/>
        <w:ind w:left="900"/>
        <w:rPr>
          <w:rFonts w:eastAsia="MS Mincho"/>
          <w:sz w:val="24"/>
          <w:szCs w:val="24"/>
          <w:lang w:eastAsia="ja-JP"/>
        </w:rPr>
      </w:pPr>
      <w:r>
        <w:rPr>
          <w:b/>
          <w:bCs/>
          <w:sz w:val="24"/>
          <w:szCs w:val="24"/>
          <w:lang w:val="lv" w:eastAsia="ja-JP"/>
        </w:rPr>
        <w:t>Iespējams ANDV infekcijas gadījums:</w:t>
      </w:r>
      <w:r>
        <w:rPr>
          <w:rFonts w:eastAsia="MS Mincho"/>
          <w:sz w:val="24"/>
          <w:szCs w:val="24"/>
          <w:lang w:eastAsia="ja-JP"/>
        </w:rPr>
        <w:br w:type="textWrapping"/>
      </w:r>
      <w:r>
        <w:rPr>
          <w:sz w:val="24"/>
          <w:szCs w:val="24"/>
          <w:lang w:val="lv" w:eastAsia="ja-JP"/>
        </w:rPr>
        <w:t>persona ar aizdomīga gadījuma simptomiem, kuru izvērtējis veselības aprūpes speciālists, UN kurai ir epidemioloģiska saikne ar apstiprinātu vai iespējamu gadījumu, BET nav laboratorisku rezultātu.</w:t>
      </w:r>
    </w:p>
    <w:p w14:paraId="24D7626D">
      <w:pPr>
        <w:spacing w:after="160"/>
        <w:ind w:left="810"/>
        <w:rPr>
          <w:rFonts w:eastAsia="MS Mincho"/>
          <w:sz w:val="24"/>
          <w:szCs w:val="24"/>
          <w:lang w:eastAsia="ja-JP"/>
        </w:rPr>
      </w:pPr>
      <w:r>
        <w:rPr>
          <w:b/>
          <w:bCs/>
          <w:sz w:val="24"/>
          <w:szCs w:val="24"/>
          <w:lang w:val="lv" w:eastAsia="ja-JP"/>
        </w:rPr>
        <w:t>Apstiprināts ANDV infekcijas gadījums:</w:t>
      </w:r>
      <w:r>
        <w:rPr>
          <w:rFonts w:eastAsia="MS Mincho"/>
          <w:sz w:val="24"/>
          <w:szCs w:val="24"/>
          <w:lang w:eastAsia="ja-JP"/>
        </w:rPr>
        <w:br w:type="textWrapping"/>
      </w:r>
      <w:r>
        <w:rPr>
          <w:sz w:val="24"/>
          <w:szCs w:val="24"/>
          <w:lang w:val="lv" w:eastAsia="ja-JP"/>
        </w:rPr>
        <w:t>persona, kurai laboratoriski apstiprināts ANDV (RT-PCR vai seroloģija).</w:t>
      </w:r>
    </w:p>
    <w:p w14:paraId="75E7A744">
      <w:pPr>
        <w:spacing w:after="160"/>
        <w:jc w:val="both"/>
        <w:rPr>
          <w:b/>
          <w:bCs/>
          <w:sz w:val="24"/>
          <w:szCs w:val="24"/>
          <w:lang w:val="lv" w:eastAsia="ja-JP"/>
        </w:rPr>
      </w:pPr>
    </w:p>
    <w:p w14:paraId="5308DA55">
      <w:pPr>
        <w:spacing w:after="160"/>
        <w:jc w:val="both"/>
        <w:rPr>
          <w:sz w:val="24"/>
          <w:szCs w:val="24"/>
          <w:lang w:val="lv" w:eastAsia="ja-JP"/>
        </w:rPr>
      </w:pPr>
      <w:r>
        <w:rPr>
          <w:b/>
          <w:bCs/>
          <w:sz w:val="24"/>
          <w:szCs w:val="24"/>
          <w:lang w:val="lv" w:eastAsia="ja-JP"/>
        </w:rPr>
        <w:t>Hantavīrusu laboratoriskā diagnostiku</w:t>
      </w:r>
      <w:r>
        <w:rPr>
          <w:sz w:val="24"/>
          <w:szCs w:val="24"/>
          <w:lang w:val="lv" w:eastAsia="ja-JP"/>
        </w:rPr>
        <w:t xml:space="preserve"> veic SIA “Rīgas Austrumu klīniskā universitātes slimnīca” Nacionālā mikrobioloģijas references laboratorija (turpmāk – NMRL) (tālrunis konsultācijām – 67014215, 67014775, 29114493). Pašlaik NMRL ir pieejamas šādas hantavīrusu laboratoriskās testēšanas sistēmas: IFA IgM/IgG testēšanas sistēma; ELISA IgM/IgG testēšanas sistēma; imūnblota metode; PĶR metode. </w:t>
      </w:r>
    </w:p>
    <w:p w14:paraId="15ACC7D2">
      <w:pPr>
        <w:spacing w:after="160"/>
        <w:ind w:firstLine="720"/>
        <w:jc w:val="both"/>
        <w:rPr>
          <w:sz w:val="24"/>
          <w:szCs w:val="24"/>
          <w:lang w:val="lv" w:eastAsia="ja-JP"/>
        </w:rPr>
      </w:pPr>
      <w:r>
        <w:rPr>
          <w:b/>
          <w:bCs/>
          <w:sz w:val="24"/>
          <w:szCs w:val="24"/>
          <w:lang w:val="lv" w:eastAsia="ja-JP"/>
        </w:rPr>
        <w:t>Materiāls testēšanai:</w:t>
      </w:r>
    </w:p>
    <w:p w14:paraId="207A8E12">
      <w:pPr>
        <w:spacing w:after="160"/>
        <w:ind w:firstLine="720"/>
        <w:jc w:val="both"/>
        <w:rPr>
          <w:rFonts w:eastAsia="MS Mincho"/>
          <w:sz w:val="24"/>
          <w:szCs w:val="24"/>
          <w:lang w:val="lv" w:eastAsia="ja-JP"/>
        </w:rPr>
      </w:pPr>
      <w:r>
        <w:rPr>
          <w:i/>
          <w:iCs/>
          <w:sz w:val="24"/>
          <w:szCs w:val="24"/>
          <w:lang w:val="lv" w:eastAsia="ja-JP"/>
        </w:rPr>
        <w:t xml:space="preserve">Asinis seroloģiskajai pārbaudei: </w:t>
      </w:r>
      <w:r>
        <w:rPr>
          <w:sz w:val="24"/>
          <w:szCs w:val="24"/>
          <w:lang w:val="lv" w:eastAsia="ja-JP"/>
        </w:rPr>
        <w:t>stobriņš bez antikoagulanta. Pieaugušajiem 3,5–7,5 ml, bērniem 1,2–3,5 ml. Uzglabāt un transportēt temperatūrā +18°–25°C ne ilgāk par 12 h vai +2° līdz +8°C ne ilgāk par 48 h.</w:t>
      </w:r>
    </w:p>
    <w:p w14:paraId="18A906A8">
      <w:pPr>
        <w:spacing w:after="160"/>
        <w:ind w:firstLine="720"/>
        <w:jc w:val="both"/>
        <w:rPr>
          <w:rFonts w:eastAsia="MS Mincho"/>
          <w:sz w:val="24"/>
          <w:szCs w:val="24"/>
          <w:lang w:val="fr-FR" w:eastAsia="ja-JP"/>
        </w:rPr>
      </w:pPr>
      <w:r>
        <w:rPr>
          <w:i/>
          <w:iCs/>
          <w:sz w:val="24"/>
          <w:szCs w:val="24"/>
          <w:lang w:val="lv" w:eastAsia="ja-JP"/>
        </w:rPr>
        <w:t>Asinis PĶR izmeklēšanai</w:t>
      </w:r>
      <w:r>
        <w:rPr>
          <w:sz w:val="24"/>
          <w:szCs w:val="24"/>
          <w:lang w:val="lv" w:eastAsia="ja-JP"/>
        </w:rPr>
        <w:t>:</w:t>
      </w:r>
      <w:r>
        <w:rPr>
          <w:b/>
          <w:bCs/>
          <w:sz w:val="24"/>
          <w:szCs w:val="24"/>
          <w:lang w:val="lv" w:eastAsia="ja-JP"/>
        </w:rPr>
        <w:t xml:space="preserve"> </w:t>
      </w:r>
      <w:r>
        <w:rPr>
          <w:sz w:val="24"/>
          <w:szCs w:val="24"/>
          <w:lang w:val="lv" w:eastAsia="ja-JP"/>
        </w:rPr>
        <w:t>stobriņš ar EDTA, pieaugušajiem 3,5–7,5 ml, bērniem 1,2 - 3,5 ml. Uzglabāt un transportēt temperatūrā +18°–+25°C ne ilgāk par 12 h vai +2° līdz +8°C ne ilgāk par 48 h.</w:t>
      </w:r>
    </w:p>
    <w:p w14:paraId="277124C3">
      <w:pPr>
        <w:spacing w:after="160"/>
        <w:ind w:firstLine="720"/>
        <w:jc w:val="both"/>
        <w:rPr>
          <w:sz w:val="24"/>
          <w:szCs w:val="24"/>
          <w:lang w:val="lv" w:eastAsia="ja-JP"/>
        </w:rPr>
      </w:pPr>
      <w:r>
        <w:rPr>
          <w:sz w:val="24"/>
          <w:szCs w:val="24"/>
          <w:lang w:val="lv" w:eastAsia="ja-JP"/>
        </w:rPr>
        <w:t>Jāņem vērā, ka agrīnā inkubācijas periodā laboratorisko testu rezultāti var būt negatīvi, tādēļ simptomātiskiem pacientiem ar negatīvu sākotnējo rezultātu ir nepieciešama atkārtota testēšana.</w:t>
      </w:r>
    </w:p>
    <w:p w14:paraId="3A9C1C7D">
      <w:pPr>
        <w:spacing w:after="160"/>
        <w:ind w:firstLine="720"/>
        <w:jc w:val="both"/>
        <w:rPr>
          <w:sz w:val="24"/>
          <w:szCs w:val="24"/>
          <w:lang w:val="lv" w:eastAsia="ja-JP"/>
        </w:rPr>
      </w:pPr>
      <w:r>
        <w:rPr>
          <w:b/>
          <w:bCs/>
          <w:sz w:val="24"/>
          <w:szCs w:val="24"/>
          <w:lang w:val="lv" w:eastAsia="ja-JP"/>
        </w:rPr>
        <w:t>Ieteikumi veselības aprūpes darbiniekiem ANDV infekcijas gadījumā:</w:t>
      </w:r>
    </w:p>
    <w:p w14:paraId="11FDC479">
      <w:pPr>
        <w:numPr>
          <w:ilvl w:val="0"/>
          <w:numId w:val="2"/>
        </w:numPr>
        <w:spacing w:after="160" w:line="279" w:lineRule="auto"/>
        <w:jc w:val="both"/>
        <w:rPr>
          <w:sz w:val="24"/>
          <w:szCs w:val="24"/>
          <w:lang w:val="lv" w:eastAsia="ja-JP"/>
        </w:rPr>
      </w:pPr>
      <w:r>
        <w:rPr>
          <w:sz w:val="24"/>
          <w:szCs w:val="24"/>
          <w:lang w:val="lv" w:eastAsia="ja-JP"/>
        </w:rPr>
        <w:t>Darbiniekiem, kuri aprūpē simptomātiskus pacientus vai veic asimptomātisku kontaktpersonu izmeklēšanu, tostarp paraugu ņemšanu laboratoriskajai testēšanai, jālieto individuālie aizsardzības līdzekļi (IAL), tostarp respirators (piemēram, FFP2), cimdi, halāts un acu aizsardzības līdzekļi.</w:t>
      </w:r>
    </w:p>
    <w:p w14:paraId="4F67205C">
      <w:pPr>
        <w:numPr>
          <w:ilvl w:val="0"/>
          <w:numId w:val="2"/>
        </w:numPr>
        <w:spacing w:after="160" w:line="279" w:lineRule="auto"/>
        <w:jc w:val="both"/>
        <w:rPr>
          <w:sz w:val="24"/>
          <w:szCs w:val="24"/>
          <w:lang w:val="lv" w:eastAsia="ja-JP"/>
        </w:rPr>
      </w:pPr>
      <w:r>
        <w:rPr>
          <w:sz w:val="24"/>
          <w:szCs w:val="24"/>
          <w:lang w:val="lv" w:eastAsia="ja-JP"/>
        </w:rPr>
        <w:t>Piesardzības pasākumi jāievēro nepārtraukti un neatkarīgi no aprūpes sniegšanas vides vai apstākļiem, īpašu uzmanību pievēršot stingrai roku higiēnas ievērošanai pirms pacienta aprūpes, tās laikā un pēc tās.</w:t>
      </w:r>
    </w:p>
    <w:p w14:paraId="4251516C">
      <w:pPr>
        <w:numPr>
          <w:ilvl w:val="0"/>
          <w:numId w:val="2"/>
        </w:numPr>
        <w:spacing w:after="160" w:line="279" w:lineRule="auto"/>
        <w:jc w:val="both"/>
        <w:rPr>
          <w:sz w:val="24"/>
          <w:szCs w:val="24"/>
          <w:lang w:val="lv" w:eastAsia="ja-JP"/>
        </w:rPr>
      </w:pPr>
      <w:r>
        <w:rPr>
          <w:sz w:val="24"/>
          <w:szCs w:val="24"/>
          <w:lang w:val="lv" w:eastAsia="ja-JP"/>
        </w:rPr>
        <w:t>Pacientiem jālieto sejas vai elpceļu aizsardzības līdzekļi. Minimālā prasība ir šķidrumu necaurlaidīga medicīniskā vai ķirurģiskā maska vai, kā alternatīva, respirators (piemēram, FFP2).</w:t>
      </w:r>
    </w:p>
    <w:p w14:paraId="44AD7A92">
      <w:pPr>
        <w:numPr>
          <w:ilvl w:val="0"/>
          <w:numId w:val="2"/>
        </w:numPr>
        <w:spacing w:after="160" w:line="279" w:lineRule="auto"/>
        <w:jc w:val="both"/>
        <w:rPr>
          <w:sz w:val="24"/>
          <w:szCs w:val="24"/>
          <w:lang w:eastAsia="ja-JP"/>
        </w:rPr>
      </w:pPr>
      <w:r>
        <w:rPr>
          <w:sz w:val="24"/>
          <w:szCs w:val="24"/>
          <w:lang w:eastAsia="ja-JP"/>
        </w:rPr>
        <w:t>Pacientu transportēšana jāierobežo tikai līdz būtiski nepieciešamiem gadījumiem, jānodrošina minimāls kontaktpersonu skaitu.</w:t>
      </w:r>
    </w:p>
    <w:p w14:paraId="4E4400D0">
      <w:pPr>
        <w:numPr>
          <w:ilvl w:val="0"/>
          <w:numId w:val="2"/>
        </w:numPr>
        <w:spacing w:after="160" w:line="279" w:lineRule="auto"/>
        <w:jc w:val="both"/>
        <w:rPr>
          <w:sz w:val="24"/>
          <w:szCs w:val="24"/>
          <w:lang w:val="lv" w:eastAsia="ja-JP"/>
        </w:rPr>
      </w:pPr>
      <w:r>
        <w:rPr>
          <w:sz w:val="24"/>
          <w:szCs w:val="24"/>
          <w:lang w:val="lv" w:eastAsia="ja-JP"/>
        </w:rPr>
        <w:t>Simptomātiskas personas jāizmitina vienvietīgās telpās (palātās). Var apsvērt pacientu kohortēšanu ar citiem pacientiem, kuriem ir laboratoriski apstiprināta ANDV infekcija.</w:t>
      </w:r>
    </w:p>
    <w:p w14:paraId="21E01A3C">
      <w:pPr>
        <w:numPr>
          <w:ilvl w:val="0"/>
          <w:numId w:val="2"/>
        </w:numPr>
        <w:spacing w:after="160" w:line="279" w:lineRule="auto"/>
        <w:jc w:val="both"/>
        <w:rPr>
          <w:sz w:val="24"/>
          <w:szCs w:val="24"/>
          <w:lang w:val="lv" w:eastAsia="ja-JP"/>
        </w:rPr>
      </w:pPr>
      <w:r>
        <w:rPr>
          <w:sz w:val="24"/>
          <w:szCs w:val="24"/>
          <w:lang w:val="lv" w:eastAsia="ja-JP"/>
        </w:rPr>
        <w:t>Procedūrās, kuru laikā var veidoties aerosoli, jāapsver FFP3 respiratora lietošana, un, ja iespējams, pacientu aprūpe jānodrošina negatīvā spiediena telpā.</w:t>
      </w:r>
    </w:p>
    <w:p w14:paraId="2D5B2E24">
      <w:pPr>
        <w:numPr>
          <w:ilvl w:val="0"/>
          <w:numId w:val="2"/>
        </w:numPr>
        <w:spacing w:after="160" w:line="279" w:lineRule="auto"/>
        <w:jc w:val="both"/>
        <w:rPr>
          <w:sz w:val="24"/>
          <w:szCs w:val="24"/>
          <w:lang w:val="lv" w:eastAsia="ja-JP"/>
        </w:rPr>
      </w:pPr>
      <w:r>
        <w:rPr>
          <w:sz w:val="24"/>
          <w:szCs w:val="24"/>
          <w:lang w:val="lv" w:eastAsia="ja-JP"/>
        </w:rPr>
        <w:t xml:space="preserve">Veselības aprūpes laikā jāpievērš uzmanība logu atvēršanai, dabiskās gaisa cirkulācijas nodrošināšanai vai ventilācijai bez gaisa recirkulācijas. </w:t>
      </w:r>
    </w:p>
    <w:p w14:paraId="1E05D35A">
      <w:pPr>
        <w:numPr>
          <w:ilvl w:val="0"/>
          <w:numId w:val="2"/>
        </w:numPr>
        <w:spacing w:after="160" w:line="279" w:lineRule="auto"/>
        <w:jc w:val="both"/>
        <w:rPr>
          <w:sz w:val="24"/>
          <w:szCs w:val="24"/>
          <w:lang w:val="lv" w:eastAsia="ja-JP"/>
        </w:rPr>
      </w:pPr>
      <w:r>
        <w:rPr>
          <w:sz w:val="24"/>
          <w:szCs w:val="24"/>
          <w:lang w:val="lv" w:eastAsia="ja-JP"/>
        </w:rPr>
        <w:t>Pacientu aprūpes zonu vides uzkopšana un dezinfekcija jāveic saskaņā ar iestādes vadlīnijās (plānā) noteiktajām rutīnas uzkopšanas procedūrām.</w:t>
      </w:r>
    </w:p>
    <w:p w14:paraId="6089E6FB">
      <w:pPr>
        <w:numPr>
          <w:ilvl w:val="0"/>
          <w:numId w:val="2"/>
        </w:numPr>
        <w:spacing w:after="160" w:line="279" w:lineRule="auto"/>
        <w:jc w:val="both"/>
        <w:rPr>
          <w:sz w:val="24"/>
          <w:szCs w:val="24"/>
          <w:lang w:val="lv" w:eastAsia="ja-JP"/>
        </w:rPr>
      </w:pPr>
      <w:r>
        <w:rPr>
          <w:sz w:val="24"/>
          <w:szCs w:val="24"/>
          <w:lang w:val="lv" w:eastAsia="ja-JP"/>
        </w:rPr>
        <w:t>Veselības aprūpes darbiniekiem, kas iesaistīti šādu pacientu aprūpē, jānodrošina pastiprināta un rūpīga simptomu uzraudzība.</w:t>
      </w:r>
    </w:p>
    <w:p w14:paraId="256F095F">
      <w:pPr>
        <w:spacing w:before="240" w:after="240"/>
        <w:ind w:firstLine="720"/>
        <w:jc w:val="both"/>
        <w:rPr>
          <w:b/>
          <w:bCs/>
          <w:color w:val="000000"/>
          <w:sz w:val="24"/>
          <w:szCs w:val="24"/>
          <w:lang w:val="lv" w:eastAsia="ja-JP"/>
        </w:rPr>
      </w:pPr>
      <w:r>
        <w:rPr>
          <w:b/>
          <w:bCs/>
          <w:color w:val="000000"/>
          <w:sz w:val="24"/>
          <w:szCs w:val="24"/>
          <w:lang w:val="lv" w:eastAsia="ja-JP"/>
        </w:rPr>
        <w:t>Ziņošana</w:t>
      </w:r>
    </w:p>
    <w:p w14:paraId="2FC7415A">
      <w:pPr>
        <w:spacing w:before="240" w:after="240"/>
        <w:ind w:firstLine="720"/>
        <w:jc w:val="both"/>
        <w:rPr>
          <w:sz w:val="24"/>
          <w:szCs w:val="24"/>
          <w:lang w:eastAsia="ja-JP"/>
        </w:rPr>
      </w:pPr>
      <w:r>
        <w:rPr>
          <w:color w:val="000000"/>
          <w:sz w:val="24"/>
          <w:szCs w:val="24"/>
          <w:lang w:val="lv" w:eastAsia="ja-JP"/>
        </w:rPr>
        <w:t>Ja pacientam tiek konstatēta hantavīrusu infekcija vai rodas profesionāli pamatotas aizdomas par pacienta inficēšanos ar  hantavīrusa infekciju, ārstniecības personas pienākums ir par to ziņot Centram pēc iespējas ātrāk, bet ne vēlāk kā vienas darba dienas laikā, informējot Centru telefoniski un rakstiski, nosūtot aizpildītu steidzamā paziņojuma veidlapu. Sīkāka informācija par infekcijas slimību reģistrācijas kārtību pieejama Centra</w:t>
      </w:r>
      <w:r>
        <w:rPr>
          <w:color w:val="000000"/>
          <w:sz w:val="24"/>
          <w:szCs w:val="24"/>
          <w:lang w:eastAsia="ja-JP"/>
        </w:rPr>
        <w:t xml:space="preserve"> tīmekļvietnē</w:t>
      </w:r>
      <w:r>
        <w:rPr>
          <w:color w:val="000000"/>
          <w:sz w:val="24"/>
          <w:szCs w:val="24"/>
          <w:vertAlign w:val="superscript"/>
          <w:lang w:eastAsia="ja-JP"/>
        </w:rPr>
        <w:footnoteReference w:id="0"/>
      </w:r>
      <w:r>
        <w:rPr>
          <w:color w:val="000000"/>
          <w:sz w:val="24"/>
          <w:szCs w:val="24"/>
          <w:lang w:eastAsia="ja-JP"/>
        </w:rPr>
        <w:t>. Informācija par infekcijas slimību reģistrāciju: 67271738.</w:t>
      </w:r>
      <w:r>
        <w:rPr>
          <w:sz w:val="24"/>
          <w:szCs w:val="24"/>
          <w:lang w:eastAsia="ja-JP"/>
        </w:rPr>
        <w:t xml:space="preserve"> </w:t>
      </w:r>
    </w:p>
    <w:p w14:paraId="0A22EA3F">
      <w:pPr>
        <w:spacing w:before="240" w:after="240"/>
        <w:ind w:firstLine="720"/>
        <w:jc w:val="both"/>
        <w:rPr>
          <w:b/>
          <w:bCs/>
          <w:sz w:val="24"/>
          <w:szCs w:val="24"/>
          <w:lang w:eastAsia="ja-JP"/>
        </w:rPr>
      </w:pPr>
      <w:r>
        <w:rPr>
          <w:b/>
          <w:bCs/>
          <w:sz w:val="24"/>
          <w:szCs w:val="24"/>
          <w:lang w:eastAsia="ja-JP"/>
        </w:rPr>
        <w:t>Kontaktpersonu klasifikācija un ieteiktā rīcība</w:t>
      </w:r>
      <w:r>
        <w:rPr>
          <w:b/>
          <w:bCs/>
          <w:sz w:val="24"/>
          <w:szCs w:val="24"/>
          <w:vertAlign w:val="superscript"/>
          <w:lang w:eastAsia="ja-JP"/>
        </w:rPr>
        <w:footnoteReference w:id="1"/>
      </w:r>
    </w:p>
    <w:tbl>
      <w:tblPr>
        <w:tblStyle w:val="29"/>
        <w:tblW w:w="94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92"/>
        <w:gridCol w:w="4306"/>
        <w:gridCol w:w="3570"/>
      </w:tblGrid>
      <w:tr w14:paraId="4E93C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592" w:type="dxa"/>
          </w:tcPr>
          <w:p w14:paraId="7881307A">
            <w:pPr>
              <w:jc w:val="center"/>
              <w:rPr>
                <w:rFonts w:cs="Arial"/>
                <w:b/>
                <w:bCs/>
                <w:sz w:val="24"/>
                <w:szCs w:val="24"/>
                <w:lang w:val="en-US" w:eastAsia="ja-JP"/>
              </w:rPr>
            </w:pPr>
            <w:r>
              <w:rPr>
                <w:rFonts w:cs="Arial"/>
                <w:b/>
                <w:bCs/>
                <w:sz w:val="24"/>
                <w:szCs w:val="24"/>
                <w:lang w:val="en-US" w:eastAsia="ja-JP"/>
              </w:rPr>
              <w:t>Riska pakāpe</w:t>
            </w:r>
          </w:p>
        </w:tc>
        <w:tc>
          <w:tcPr>
            <w:tcW w:w="4306" w:type="dxa"/>
          </w:tcPr>
          <w:p w14:paraId="0F2D9E00">
            <w:pPr>
              <w:jc w:val="center"/>
              <w:rPr>
                <w:rFonts w:cs="Arial"/>
                <w:b/>
                <w:bCs/>
                <w:sz w:val="24"/>
                <w:szCs w:val="24"/>
                <w:lang w:val="en-US" w:eastAsia="ja-JP"/>
              </w:rPr>
            </w:pPr>
            <w:bookmarkStart w:id="0" w:name="_GoBack"/>
            <w:bookmarkEnd w:id="0"/>
            <w:r>
              <w:rPr>
                <w:rFonts w:cs="Arial"/>
                <w:b/>
                <w:bCs/>
                <w:sz w:val="24"/>
                <w:szCs w:val="24"/>
                <w:lang w:val="en-US" w:eastAsia="ja-JP"/>
              </w:rPr>
              <w:t>Definīcija</w:t>
            </w:r>
          </w:p>
        </w:tc>
        <w:tc>
          <w:tcPr>
            <w:tcW w:w="3570" w:type="dxa"/>
          </w:tcPr>
          <w:p w14:paraId="64132C35">
            <w:pPr>
              <w:jc w:val="center"/>
              <w:rPr>
                <w:rFonts w:cs="Arial"/>
                <w:b/>
                <w:bCs/>
                <w:sz w:val="24"/>
                <w:szCs w:val="24"/>
                <w:lang w:val="en-US" w:eastAsia="ja-JP"/>
              </w:rPr>
            </w:pPr>
            <w:r>
              <w:rPr>
                <w:rFonts w:cs="Arial"/>
                <w:b/>
                <w:bCs/>
                <w:sz w:val="24"/>
                <w:szCs w:val="24"/>
                <w:lang w:val="en-US" w:eastAsia="ja-JP"/>
              </w:rPr>
              <w:t>Rīcība</w:t>
            </w:r>
          </w:p>
        </w:tc>
      </w:tr>
      <w:tr w14:paraId="56C1D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0" w:hRule="atLeast"/>
        </w:trPr>
        <w:tc>
          <w:tcPr>
            <w:tcW w:w="1592" w:type="dxa"/>
          </w:tcPr>
          <w:p w14:paraId="176C0855">
            <w:pPr>
              <w:rPr>
                <w:rFonts w:cs="Arial"/>
                <w:sz w:val="24"/>
                <w:szCs w:val="24"/>
                <w:lang w:val="lv-LV" w:eastAsia="ja-JP"/>
              </w:rPr>
            </w:pPr>
            <w:r>
              <w:rPr>
                <w:rFonts w:cs="Arial"/>
                <w:sz w:val="24"/>
                <w:szCs w:val="24"/>
                <w:lang w:val="lv-LV" w:eastAsia="ja-JP"/>
              </w:rPr>
              <w:t>Augsta riska kontakts</w:t>
            </w:r>
          </w:p>
        </w:tc>
        <w:tc>
          <w:tcPr>
            <w:tcW w:w="4306" w:type="dxa"/>
          </w:tcPr>
          <w:p w14:paraId="26885DAD">
            <w:pPr>
              <w:numPr>
                <w:ilvl w:val="0"/>
                <w:numId w:val="3"/>
              </w:numPr>
              <w:spacing w:after="60"/>
              <w:jc w:val="both"/>
              <w:rPr>
                <w:rFonts w:cs="Arial"/>
                <w:sz w:val="24"/>
                <w:szCs w:val="24"/>
                <w:lang w:val="lv-LV" w:eastAsia="ja-JP"/>
              </w:rPr>
            </w:pPr>
            <w:r>
              <w:rPr>
                <w:rFonts w:cs="Arial"/>
                <w:sz w:val="24"/>
                <w:szCs w:val="24"/>
                <w:lang w:val="lv-LV" w:eastAsia="ja-JP"/>
              </w:rPr>
              <w:t>Visas personas, kas atradās uz kruīza kuģa dokumenta publicēšanas brīdī, izņemot sabiedrības veselības ekspertus, kuri pievienojās kuģim Kaboverdē 2026. gada 6. maijā.</w:t>
            </w:r>
          </w:p>
          <w:p w14:paraId="587E838C">
            <w:pPr>
              <w:numPr>
                <w:ilvl w:val="0"/>
                <w:numId w:val="3"/>
              </w:numPr>
              <w:spacing w:after="60"/>
              <w:jc w:val="both"/>
              <w:rPr>
                <w:rFonts w:cs="Arial"/>
                <w:sz w:val="24"/>
                <w:szCs w:val="24"/>
                <w:lang w:val="lv-LV" w:eastAsia="ja-JP"/>
              </w:rPr>
            </w:pPr>
            <w:r>
              <w:rPr>
                <w:rFonts w:eastAsia="MS Mincho" w:cs="Arial"/>
                <w:sz w:val="24"/>
                <w:szCs w:val="24"/>
                <w:lang w:val="lv-LV" w:eastAsia="ja-JP"/>
              </w:rPr>
              <w:t>Personas ar ciešu kontaktu ar iespējamu vai apstiprinātu ANDV infekcijas gadījumu</w:t>
            </w:r>
            <w:r>
              <w:rPr>
                <w:rFonts w:cs="Arial"/>
                <w:sz w:val="24"/>
                <w:szCs w:val="24"/>
                <w:lang w:val="lv-LV" w:eastAsia="ja-JP"/>
              </w:rPr>
              <w:t xml:space="preserve">: </w:t>
            </w:r>
          </w:p>
          <w:p w14:paraId="08897990">
            <w:pPr>
              <w:numPr>
                <w:ilvl w:val="0"/>
                <w:numId w:val="4"/>
              </w:numPr>
              <w:spacing w:after="60"/>
              <w:jc w:val="both"/>
              <w:rPr>
                <w:rFonts w:cs="Arial"/>
                <w:sz w:val="24"/>
                <w:szCs w:val="24"/>
                <w:lang w:val="lv-LV" w:eastAsia="ja-JP"/>
              </w:rPr>
            </w:pPr>
            <w:r>
              <w:rPr>
                <w:rFonts w:cs="Arial"/>
                <w:sz w:val="24"/>
                <w:szCs w:val="24"/>
                <w:lang w:val="lv-LV" w:eastAsia="ja-JP"/>
              </w:rPr>
              <w:t xml:space="preserve">vienas istabas koplietošana; </w:t>
            </w:r>
          </w:p>
          <w:p w14:paraId="1D094BC7">
            <w:pPr>
              <w:numPr>
                <w:ilvl w:val="0"/>
                <w:numId w:val="4"/>
              </w:numPr>
              <w:spacing w:after="60"/>
              <w:jc w:val="both"/>
              <w:rPr>
                <w:rFonts w:cs="Arial"/>
                <w:sz w:val="24"/>
                <w:szCs w:val="24"/>
                <w:lang w:val="lv-LV" w:eastAsia="ja-JP"/>
              </w:rPr>
            </w:pPr>
            <w:r>
              <w:rPr>
                <w:rFonts w:cs="Arial"/>
                <w:sz w:val="24"/>
                <w:szCs w:val="24"/>
                <w:lang w:val="lv-LV" w:eastAsia="ja-JP"/>
              </w:rPr>
              <w:t xml:space="preserve">intīms kontakts vai tiešs fizisks kontakts; </w:t>
            </w:r>
          </w:p>
          <w:p w14:paraId="08ACC931">
            <w:pPr>
              <w:numPr>
                <w:ilvl w:val="0"/>
                <w:numId w:val="4"/>
              </w:numPr>
              <w:spacing w:after="60"/>
              <w:jc w:val="both"/>
              <w:rPr>
                <w:rFonts w:cs="Arial"/>
                <w:sz w:val="24"/>
                <w:szCs w:val="24"/>
                <w:lang w:val="lv-LV" w:eastAsia="ja-JP"/>
              </w:rPr>
            </w:pPr>
            <w:r>
              <w:rPr>
                <w:rFonts w:cs="Arial"/>
                <w:sz w:val="24"/>
                <w:szCs w:val="24"/>
                <w:lang w:val="lv-LV" w:eastAsia="ja-JP"/>
              </w:rPr>
              <w:t xml:space="preserve">koplietojama vannasistaba vai guļvieta; </w:t>
            </w:r>
          </w:p>
          <w:p w14:paraId="67AF239B">
            <w:pPr>
              <w:numPr>
                <w:ilvl w:val="0"/>
                <w:numId w:val="4"/>
              </w:numPr>
              <w:spacing w:after="60"/>
              <w:jc w:val="both"/>
              <w:rPr>
                <w:rFonts w:cs="Arial"/>
                <w:sz w:val="24"/>
                <w:szCs w:val="24"/>
                <w:lang w:val="lv-LV" w:eastAsia="ja-JP"/>
              </w:rPr>
            </w:pPr>
            <w:r>
              <w:rPr>
                <w:rFonts w:cs="Arial"/>
                <w:sz w:val="24"/>
                <w:szCs w:val="24"/>
                <w:lang w:val="lv-LV" w:eastAsia="ja-JP"/>
              </w:rPr>
              <w:t xml:space="preserve">atrašanās aptuveni divu metru attālumā ilgstoši (&gt;15 minūtes kopumā) slēgtā telpā; </w:t>
            </w:r>
          </w:p>
          <w:p w14:paraId="44F5E419">
            <w:pPr>
              <w:numPr>
                <w:ilvl w:val="0"/>
                <w:numId w:val="4"/>
              </w:numPr>
              <w:spacing w:after="60"/>
              <w:jc w:val="both"/>
              <w:rPr>
                <w:rFonts w:cs="Arial"/>
                <w:sz w:val="24"/>
                <w:szCs w:val="24"/>
                <w:lang w:val="lv-LV" w:eastAsia="ja-JP"/>
              </w:rPr>
            </w:pPr>
            <w:r>
              <w:rPr>
                <w:rFonts w:cs="Arial"/>
                <w:sz w:val="24"/>
                <w:szCs w:val="24"/>
                <w:lang w:val="lv-LV" w:eastAsia="ja-JP"/>
              </w:rPr>
              <w:t xml:space="preserve">kopīgas maltītes, ilgstoša sociāla saskarsme, medicīniskā aprūpe vai aprūpēšana; </w:t>
            </w:r>
          </w:p>
          <w:p w14:paraId="283C776A">
            <w:pPr>
              <w:numPr>
                <w:ilvl w:val="0"/>
                <w:numId w:val="4"/>
              </w:numPr>
              <w:spacing w:after="60"/>
              <w:jc w:val="both"/>
              <w:rPr>
                <w:rFonts w:cs="Arial"/>
                <w:sz w:val="24"/>
                <w:szCs w:val="24"/>
                <w:lang w:val="lv-LV" w:eastAsia="ja-JP"/>
              </w:rPr>
            </w:pPr>
            <w:r>
              <w:rPr>
                <w:rFonts w:cs="Arial"/>
                <w:sz w:val="24"/>
                <w:szCs w:val="24"/>
                <w:lang w:val="lv-LV" w:eastAsia="ja-JP"/>
              </w:rPr>
              <w:t xml:space="preserve">veselības aprūpes darbinieki ar neaizsargātu ekspozīciju; </w:t>
            </w:r>
          </w:p>
          <w:p w14:paraId="32BDD94D">
            <w:pPr>
              <w:numPr>
                <w:ilvl w:val="0"/>
                <w:numId w:val="4"/>
              </w:numPr>
              <w:spacing w:after="60"/>
              <w:jc w:val="both"/>
              <w:rPr>
                <w:rFonts w:cs="Arial"/>
                <w:sz w:val="24"/>
                <w:szCs w:val="24"/>
                <w:lang w:val="lv-LV" w:eastAsia="ja-JP"/>
              </w:rPr>
            </w:pPr>
            <w:r>
              <w:rPr>
                <w:rFonts w:cs="Arial"/>
                <w:sz w:val="24"/>
                <w:szCs w:val="24"/>
                <w:lang w:val="lv-LV" w:eastAsia="ja-JP"/>
              </w:rPr>
              <w:t xml:space="preserve">ekspozīcija aerosolu veidojošu procedūru laikā bez atbilstošiem IAL; </w:t>
            </w:r>
          </w:p>
          <w:p w14:paraId="384636DD">
            <w:pPr>
              <w:numPr>
                <w:ilvl w:val="0"/>
                <w:numId w:val="4"/>
              </w:numPr>
              <w:spacing w:after="60"/>
              <w:jc w:val="both"/>
              <w:rPr>
                <w:rFonts w:cs="Arial"/>
                <w:sz w:val="24"/>
                <w:szCs w:val="24"/>
                <w:lang w:val="lv-LV" w:eastAsia="ja-JP"/>
              </w:rPr>
            </w:pPr>
            <w:r>
              <w:rPr>
                <w:rFonts w:cs="Arial"/>
                <w:sz w:val="24"/>
                <w:szCs w:val="24"/>
                <w:lang w:val="lv-LV" w:eastAsia="ja-JP"/>
              </w:rPr>
              <w:t xml:space="preserve">aviopasažieri tajā pašā rindā un divu rindu attālumā visos virzienos lidojumos &gt;6 stundām; </w:t>
            </w:r>
          </w:p>
          <w:p w14:paraId="78B39898">
            <w:pPr>
              <w:numPr>
                <w:ilvl w:val="0"/>
                <w:numId w:val="4"/>
              </w:numPr>
              <w:spacing w:after="60"/>
              <w:jc w:val="both"/>
              <w:rPr>
                <w:rFonts w:cs="Arial"/>
                <w:sz w:val="24"/>
                <w:szCs w:val="24"/>
                <w:lang w:val="lv-LV" w:eastAsia="ja-JP"/>
              </w:rPr>
            </w:pPr>
            <w:r>
              <w:rPr>
                <w:rFonts w:cs="Arial"/>
                <w:sz w:val="24"/>
                <w:szCs w:val="24"/>
                <w:lang w:val="lv-LV" w:eastAsia="ja-JP"/>
              </w:rPr>
              <w:t xml:space="preserve">apkalpes vai transporta personāls ar atkārtotu ciešu kontaktu ar simptomātisku vai apstiprinātu gadījumu; </w:t>
            </w:r>
          </w:p>
          <w:p w14:paraId="1CF1F708">
            <w:pPr>
              <w:numPr>
                <w:ilvl w:val="0"/>
                <w:numId w:val="4"/>
              </w:numPr>
              <w:spacing w:after="60"/>
              <w:jc w:val="both"/>
              <w:rPr>
                <w:rFonts w:cs="Arial"/>
                <w:sz w:val="24"/>
                <w:szCs w:val="24"/>
                <w:lang w:val="lv-LV" w:eastAsia="ja-JP"/>
              </w:rPr>
            </w:pPr>
            <w:r>
              <w:rPr>
                <w:rFonts w:cs="Arial"/>
                <w:sz w:val="24"/>
                <w:szCs w:val="24"/>
                <w:lang w:val="lv-LV" w:eastAsia="ja-JP"/>
              </w:rPr>
              <w:t>personas, kas bez atbilstošiem IAL apstrādājušas piesārņotu veļu, apģērbu, medicīniskos atkritumus vai ķermeņa šķidrumus.</w:t>
            </w:r>
          </w:p>
        </w:tc>
        <w:tc>
          <w:tcPr>
            <w:tcW w:w="3570" w:type="dxa"/>
          </w:tcPr>
          <w:p w14:paraId="099EB278">
            <w:pPr>
              <w:numPr>
                <w:ilvl w:val="0"/>
                <w:numId w:val="5"/>
              </w:numPr>
              <w:spacing w:after="60"/>
              <w:ind w:left="180" w:hanging="180"/>
              <w:jc w:val="both"/>
              <w:rPr>
                <w:rFonts w:cs="Arial"/>
                <w:sz w:val="24"/>
                <w:szCs w:val="24"/>
                <w:lang w:val="lv-LV" w:eastAsia="ja-JP"/>
              </w:rPr>
            </w:pPr>
            <w:r>
              <w:rPr>
                <w:rFonts w:cs="Arial"/>
                <w:sz w:val="24"/>
                <w:szCs w:val="24"/>
                <w:lang w:val="lv-LV" w:eastAsia="ja-JP"/>
              </w:rPr>
              <w:t xml:space="preserve">Paškarantīna sešas nedēļas (atsevišķa istaba, vismaz 1–2 m distance no mājsaimniecības locekļiem, nelietot kopīgus traukus, nodrošināt telpu vēdināšanu). </w:t>
            </w:r>
          </w:p>
          <w:p w14:paraId="283160CA">
            <w:pPr>
              <w:numPr>
                <w:ilvl w:val="0"/>
                <w:numId w:val="5"/>
              </w:numPr>
              <w:spacing w:after="60"/>
              <w:ind w:left="180" w:hanging="180"/>
              <w:jc w:val="both"/>
              <w:rPr>
                <w:rFonts w:cs="Arial"/>
                <w:sz w:val="24"/>
                <w:szCs w:val="24"/>
                <w:lang w:val="lv-LV" w:eastAsia="ja-JP"/>
              </w:rPr>
            </w:pPr>
            <w:r>
              <w:rPr>
                <w:rFonts w:eastAsia="MS Mincho" w:cs="Arial"/>
                <w:sz w:val="24"/>
                <w:szCs w:val="24"/>
                <w:lang w:val="lv-LV" w:eastAsia="ja-JP"/>
              </w:rPr>
              <w:t>Psihiskās veselības uzturēšanai pieļaujama uzturēšanās ārpus mājām, ievērojot infekcijas profilakses pasākumus.</w:t>
            </w:r>
          </w:p>
          <w:p w14:paraId="095AEBE5">
            <w:pPr>
              <w:numPr>
                <w:ilvl w:val="0"/>
                <w:numId w:val="5"/>
              </w:numPr>
              <w:spacing w:after="60"/>
              <w:ind w:left="180" w:hanging="180"/>
              <w:jc w:val="both"/>
              <w:rPr>
                <w:rFonts w:cs="Arial"/>
                <w:sz w:val="24"/>
                <w:szCs w:val="24"/>
                <w:lang w:val="lv-LV" w:eastAsia="ja-JP"/>
              </w:rPr>
            </w:pPr>
            <w:r>
              <w:rPr>
                <w:rFonts w:cs="Arial"/>
                <w:sz w:val="24"/>
                <w:szCs w:val="24"/>
                <w:lang w:val="lv-LV" w:eastAsia="ja-JP"/>
              </w:rPr>
              <w:t xml:space="preserve">Nedrīkst izmantot sabiedrisko transportu vai komerciālos avioreisus repatriācijai. </w:t>
            </w:r>
          </w:p>
          <w:p w14:paraId="001860C0">
            <w:pPr>
              <w:numPr>
                <w:ilvl w:val="0"/>
                <w:numId w:val="5"/>
              </w:numPr>
              <w:spacing w:after="60"/>
              <w:ind w:left="180" w:hanging="180"/>
              <w:jc w:val="both"/>
              <w:rPr>
                <w:rFonts w:cs="Arial"/>
                <w:sz w:val="24"/>
                <w:szCs w:val="24"/>
                <w:lang w:val="lv-LV" w:eastAsia="ja-JP"/>
              </w:rPr>
            </w:pPr>
            <w:r>
              <w:rPr>
                <w:rFonts w:eastAsia="MS Mincho" w:cs="Arial"/>
                <w:sz w:val="24"/>
                <w:szCs w:val="24"/>
                <w:lang w:val="lv-LV" w:eastAsia="ja-JP"/>
              </w:rPr>
              <w:t>Sabiedriskajā transportā jālieto šķidrumizturīga medicīniskā/ķirurģiskā maska un, ja iespējams, jāievēro distancēšanās.</w:t>
            </w:r>
          </w:p>
          <w:p w14:paraId="42444DD6">
            <w:pPr>
              <w:numPr>
                <w:ilvl w:val="0"/>
                <w:numId w:val="5"/>
              </w:numPr>
              <w:spacing w:after="60"/>
              <w:ind w:left="180" w:hanging="180"/>
              <w:jc w:val="both"/>
              <w:rPr>
                <w:rFonts w:cs="Arial"/>
                <w:sz w:val="24"/>
                <w:szCs w:val="24"/>
                <w:lang w:val="lv-LV" w:eastAsia="ja-JP"/>
              </w:rPr>
            </w:pPr>
            <w:r>
              <w:rPr>
                <w:rFonts w:eastAsia="MS Mincho" w:cs="Arial"/>
                <w:sz w:val="24"/>
                <w:szCs w:val="24"/>
                <w:lang w:val="lv-LV" w:eastAsia="ja-JP"/>
              </w:rPr>
              <w:t>Ikdienas veselības stāvokļa pašnovērošana līdz 42 dienām pēc pēdējās ekspozīcijas, pievēršot uzmanību drudzim, mialģijām, galvassāpēm, nogurumam, gastrointestināliem un respiratoriem simptomiem.</w:t>
            </w:r>
            <w:r>
              <w:rPr>
                <w:rFonts w:cs="Arial"/>
                <w:sz w:val="24"/>
                <w:szCs w:val="24"/>
                <w:lang w:val="lv-LV" w:eastAsia="ja-JP"/>
              </w:rPr>
              <w:t xml:space="preserve"> </w:t>
            </w:r>
          </w:p>
          <w:p w14:paraId="516AEB66">
            <w:pPr>
              <w:numPr>
                <w:ilvl w:val="0"/>
                <w:numId w:val="5"/>
              </w:numPr>
              <w:spacing w:after="60"/>
              <w:ind w:left="180" w:hanging="180"/>
              <w:jc w:val="both"/>
              <w:rPr>
                <w:rFonts w:cs="Arial"/>
                <w:sz w:val="24"/>
                <w:szCs w:val="24"/>
                <w:lang w:val="lv-LV" w:eastAsia="ja-JP"/>
              </w:rPr>
            </w:pPr>
            <w:r>
              <w:rPr>
                <w:rFonts w:cs="Arial"/>
                <w:sz w:val="24"/>
                <w:szCs w:val="24"/>
                <w:lang w:val="lv-LV" w:eastAsia="ja-JP"/>
              </w:rPr>
              <w:t xml:space="preserve">Simptomu gadījumā – tūlītēja izolācija, Centra informēšana un medicīniska izvērtēšana. </w:t>
            </w:r>
          </w:p>
          <w:p w14:paraId="0DD59BAC">
            <w:pPr>
              <w:numPr>
                <w:ilvl w:val="0"/>
                <w:numId w:val="5"/>
              </w:numPr>
              <w:spacing w:after="60"/>
              <w:ind w:left="180" w:hanging="180"/>
              <w:jc w:val="both"/>
              <w:rPr>
                <w:rFonts w:cs="Arial"/>
                <w:sz w:val="24"/>
                <w:szCs w:val="24"/>
                <w:lang w:val="lv-LV" w:eastAsia="ja-JP"/>
              </w:rPr>
            </w:pPr>
            <w:r>
              <w:rPr>
                <w:rFonts w:cs="Arial"/>
                <w:sz w:val="24"/>
                <w:szCs w:val="24"/>
                <w:lang w:val="lv-LV" w:eastAsia="ja-JP"/>
              </w:rPr>
              <w:t>Paraugu noņemšana un testēšana, ja persona atbilst aizdomīga gadījuma definīcijai.</w:t>
            </w:r>
          </w:p>
        </w:tc>
      </w:tr>
      <w:tr w14:paraId="58D1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592" w:type="dxa"/>
          </w:tcPr>
          <w:p w14:paraId="64D6E510">
            <w:pPr>
              <w:rPr>
                <w:rFonts w:cs="Arial"/>
                <w:sz w:val="24"/>
                <w:szCs w:val="24"/>
                <w:lang w:val="lv-LV" w:eastAsia="ja-JP"/>
              </w:rPr>
            </w:pPr>
            <w:r>
              <w:rPr>
                <w:rFonts w:cs="Arial"/>
                <w:sz w:val="24"/>
                <w:szCs w:val="24"/>
                <w:lang w:val="lv-LV" w:eastAsia="ja-JP"/>
              </w:rPr>
              <w:t>Zema riska kontakts</w:t>
            </w:r>
          </w:p>
        </w:tc>
        <w:tc>
          <w:tcPr>
            <w:tcW w:w="4306" w:type="dxa"/>
          </w:tcPr>
          <w:p w14:paraId="231E72D4">
            <w:pPr>
              <w:spacing w:after="60"/>
              <w:jc w:val="both"/>
              <w:rPr>
                <w:rFonts w:cs="Arial"/>
                <w:sz w:val="24"/>
                <w:szCs w:val="24"/>
                <w:lang w:val="lv-LV" w:eastAsia="ja-JP"/>
              </w:rPr>
            </w:pPr>
            <w:r>
              <w:rPr>
                <w:rFonts w:cs="Arial"/>
                <w:sz w:val="24"/>
                <w:szCs w:val="24"/>
                <w:lang w:val="lv-LV" w:eastAsia="ja-JP"/>
              </w:rPr>
              <w:t xml:space="preserve">Personas bez zināma tieša vai ilgstoša cieša kontakta ar iespējamu vai apstiprinātu ANDV infekcijas gadījumu, tostarp: </w:t>
            </w:r>
          </w:p>
          <w:p w14:paraId="6227E496">
            <w:pPr>
              <w:numPr>
                <w:ilvl w:val="0"/>
                <w:numId w:val="6"/>
              </w:numPr>
              <w:spacing w:after="60"/>
              <w:jc w:val="both"/>
              <w:rPr>
                <w:rFonts w:cs="Arial"/>
                <w:sz w:val="24"/>
                <w:szCs w:val="24"/>
                <w:lang w:val="lv-LV" w:eastAsia="ja-JP"/>
              </w:rPr>
            </w:pPr>
            <w:r>
              <w:rPr>
                <w:rFonts w:cs="Arial"/>
                <w:sz w:val="24"/>
                <w:szCs w:val="24"/>
                <w:lang w:val="lv-LV" w:eastAsia="ja-JP"/>
              </w:rPr>
              <w:t xml:space="preserve">aviopasažieri ārpus noteiktās sēdvietu tuvuma zonas; </w:t>
            </w:r>
          </w:p>
          <w:p w14:paraId="2F7949D3">
            <w:pPr>
              <w:numPr>
                <w:ilvl w:val="0"/>
                <w:numId w:val="6"/>
              </w:numPr>
              <w:spacing w:after="60"/>
              <w:jc w:val="both"/>
              <w:rPr>
                <w:rFonts w:cs="Arial"/>
                <w:sz w:val="24"/>
                <w:szCs w:val="24"/>
                <w:lang w:val="lv-LV" w:eastAsia="ja-JP"/>
              </w:rPr>
            </w:pPr>
            <w:r>
              <w:rPr>
                <w:rFonts w:cs="Arial"/>
                <w:sz w:val="24"/>
                <w:szCs w:val="24"/>
                <w:lang w:val="lv-LV" w:eastAsia="ja-JP"/>
              </w:rPr>
              <w:t xml:space="preserve">īslaicīgi tranzīta, ostas vai gadījuma kontakti; </w:t>
            </w:r>
          </w:p>
          <w:p w14:paraId="5B11FCBE">
            <w:pPr>
              <w:numPr>
                <w:ilvl w:val="0"/>
                <w:numId w:val="6"/>
              </w:numPr>
              <w:spacing w:after="60"/>
              <w:jc w:val="both"/>
              <w:rPr>
                <w:rFonts w:cs="Arial"/>
                <w:sz w:val="24"/>
                <w:szCs w:val="24"/>
                <w:lang w:val="lv-LV" w:eastAsia="ja-JP"/>
              </w:rPr>
            </w:pPr>
            <w:r>
              <w:rPr>
                <w:rFonts w:cs="Arial"/>
                <w:sz w:val="24"/>
                <w:szCs w:val="24"/>
                <w:lang w:val="lv-LV" w:eastAsia="ja-JP"/>
              </w:rPr>
              <w:t>personas, kurām bijusi īslaicīga uzturēšanās atklātās telpās bez ilgstoša cieša kontakta;</w:t>
            </w:r>
          </w:p>
          <w:p w14:paraId="5C19DDBD">
            <w:pPr>
              <w:numPr>
                <w:ilvl w:val="0"/>
                <w:numId w:val="6"/>
              </w:numPr>
              <w:spacing w:after="60"/>
              <w:jc w:val="both"/>
              <w:rPr>
                <w:rFonts w:cs="Arial"/>
                <w:sz w:val="24"/>
                <w:szCs w:val="24"/>
                <w:lang w:val="lv-LV" w:eastAsia="ja-JP"/>
              </w:rPr>
            </w:pPr>
            <w:r>
              <w:rPr>
                <w:rFonts w:cs="Arial"/>
                <w:sz w:val="24"/>
                <w:szCs w:val="24"/>
                <w:lang w:val="lv-LV" w:eastAsia="ja-JP"/>
              </w:rPr>
              <w:t>veselības aprūpes darbinieki un cits personāls, kas visu ekspozīcijas laiku lietojis atbilstošus IAL.</w:t>
            </w:r>
          </w:p>
        </w:tc>
        <w:tc>
          <w:tcPr>
            <w:tcW w:w="3570" w:type="dxa"/>
          </w:tcPr>
          <w:p w14:paraId="675C77E5">
            <w:pPr>
              <w:numPr>
                <w:ilvl w:val="0"/>
                <w:numId w:val="6"/>
              </w:numPr>
              <w:spacing w:after="60"/>
              <w:jc w:val="both"/>
              <w:rPr>
                <w:rFonts w:cs="Arial"/>
                <w:sz w:val="24"/>
                <w:szCs w:val="24"/>
                <w:lang w:val="lv-LV" w:eastAsia="ja-JP"/>
              </w:rPr>
            </w:pPr>
            <w:r>
              <w:rPr>
                <w:rFonts w:cs="Arial"/>
                <w:sz w:val="24"/>
                <w:szCs w:val="24"/>
                <w:lang w:val="lv-LV" w:eastAsia="ja-JP"/>
              </w:rPr>
              <w:t>Veselības stāvokļa pašnovērošana līdz 42 dienām pēc pēdējās ekspozīcijas, pievēršot uzmanību drudzim, mialģijai, galvassāpēm, nogurumam, gastrointestināliem un respiratoriem simptomiem.</w:t>
            </w:r>
          </w:p>
          <w:p w14:paraId="61707D08">
            <w:pPr>
              <w:numPr>
                <w:ilvl w:val="0"/>
                <w:numId w:val="6"/>
              </w:numPr>
              <w:spacing w:after="60"/>
              <w:jc w:val="both"/>
              <w:rPr>
                <w:rFonts w:cs="Arial"/>
                <w:sz w:val="24"/>
                <w:szCs w:val="24"/>
                <w:lang w:val="lv-LV" w:eastAsia="ja-JP"/>
              </w:rPr>
            </w:pPr>
            <w:r>
              <w:rPr>
                <w:rFonts w:cs="Arial"/>
                <w:sz w:val="24"/>
                <w:szCs w:val="24"/>
                <w:lang w:val="lv-LV" w:eastAsia="ja-JP"/>
              </w:rPr>
              <w:t xml:space="preserve">Simptomu gadījumā – tūlītēja pašizolācija, Centra informēšana un medicīniska izvērtēšana. </w:t>
            </w:r>
          </w:p>
          <w:p w14:paraId="33798AE0">
            <w:pPr>
              <w:numPr>
                <w:ilvl w:val="0"/>
                <w:numId w:val="6"/>
              </w:numPr>
              <w:spacing w:after="60"/>
              <w:jc w:val="both"/>
              <w:rPr>
                <w:rFonts w:cs="Arial"/>
                <w:sz w:val="24"/>
                <w:szCs w:val="24"/>
                <w:lang w:val="lv-LV" w:eastAsia="ja-JP"/>
              </w:rPr>
            </w:pPr>
            <w:r>
              <w:rPr>
                <w:rFonts w:cs="Arial"/>
                <w:sz w:val="24"/>
                <w:szCs w:val="24"/>
                <w:lang w:val="lv-LV" w:eastAsia="ja-JP"/>
              </w:rPr>
              <w:t>Paraugu noņemšana un testēšana, ja persona atbilst aizdomīga gadījuma definīcijai.</w:t>
            </w:r>
          </w:p>
        </w:tc>
      </w:tr>
    </w:tbl>
    <w:p w14:paraId="7A31A801">
      <w:pPr>
        <w:tabs>
          <w:tab w:val="left" w:pos="6804"/>
        </w:tabs>
        <w:ind w:firstLine="720"/>
        <w:jc w:val="both"/>
        <w:rPr>
          <w:color w:val="000000"/>
          <w:sz w:val="24"/>
          <w:szCs w:val="24"/>
          <w:lang w:val="lv" w:eastAsia="ja-JP"/>
        </w:rPr>
      </w:pPr>
    </w:p>
    <w:p w14:paraId="5E071982">
      <w:pPr>
        <w:tabs>
          <w:tab w:val="left" w:pos="6804"/>
        </w:tabs>
        <w:ind w:firstLine="720"/>
        <w:jc w:val="both"/>
        <w:rPr>
          <w:color w:val="000000"/>
          <w:sz w:val="24"/>
          <w:szCs w:val="24"/>
          <w:lang w:eastAsia="ja-JP"/>
        </w:rPr>
      </w:pPr>
      <w:r>
        <w:rPr>
          <w:color w:val="000000"/>
          <w:sz w:val="24"/>
          <w:szCs w:val="24"/>
          <w:lang w:eastAsia="ja-JP"/>
        </w:rPr>
        <w:t>Centrs aicina šajā vēstulē sniegto informāciju izplatīt ārstniecības personām un Jūsu asociāciju biedriem.</w:t>
      </w:r>
    </w:p>
    <w:p w14:paraId="1D426A00">
      <w:pPr>
        <w:tabs>
          <w:tab w:val="left" w:pos="6804"/>
        </w:tabs>
        <w:spacing w:before="480" w:after="480"/>
        <w:jc w:val="both"/>
        <w:rPr>
          <w:sz w:val="24"/>
          <w:szCs w:val="24"/>
        </w:rPr>
      </w:pPr>
      <w:r>
        <w:rPr>
          <w:sz w:val="24"/>
          <w:szCs w:val="24"/>
        </w:rPr>
        <w:t>Direktore</w:t>
      </w:r>
      <w:r>
        <w:rPr>
          <w:sz w:val="24"/>
          <w:szCs w:val="24"/>
        </w:rPr>
        <w:tab/>
      </w:r>
      <w:r>
        <w:rPr>
          <w:sz w:val="24"/>
          <w:szCs w:val="24"/>
          <w:lang w:eastAsia="lv-LV"/>
        </w:rPr>
        <w:t>Elīna Dimiņa</w:t>
      </w:r>
    </w:p>
    <w:p w14:paraId="0FA6DEAA">
      <w:pPr>
        <w:pStyle w:val="26"/>
        <w:rPr>
          <w:sz w:val="20"/>
        </w:rPr>
      </w:pPr>
      <w:r>
        <w:rPr>
          <w:sz w:val="20"/>
        </w:rPr>
        <w:t>Ilona Čerņakova 66955725</w:t>
      </w:r>
    </w:p>
    <w:p w14:paraId="43555665">
      <w:pPr>
        <w:pStyle w:val="26"/>
      </w:pPr>
      <w:r>
        <w:rPr>
          <w:sz w:val="20"/>
        </w:rPr>
        <w:t>ilona.cernakova@spkc.gov.lv</w:t>
      </w:r>
    </w:p>
    <w:sectPr>
      <w:footerReference r:id="rId4" w:type="default"/>
      <w:pgSz w:w="11906" w:h="16838"/>
      <w:pgMar w:top="1134" w:right="1134"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3A9EB">
    <w:pPr>
      <w:pStyle w:val="9"/>
      <w:jc w:val="center"/>
    </w:pPr>
    <w:r>
      <w:t>DOKUMENTS PARAKSTĪTS ELEKTRONISKI AR DROŠU ELEKTRONISKO PARAKSTU</w:t>
    </w:r>
  </w:p>
  <w:p w14:paraId="0D3A8D37">
    <w:pPr>
      <w:pStyle w:val="9"/>
      <w:jc w:val="center"/>
    </w:pPr>
    <w:r>
      <w:t xml:space="preserve">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16A86D6">
      <w:pPr>
        <w:pStyle w:val="11"/>
      </w:pPr>
      <w:r>
        <w:rPr>
          <w:rStyle w:val="10"/>
        </w:rPr>
        <w:footnoteRef/>
      </w:r>
      <w:r>
        <w:t xml:space="preserve"> </w:t>
      </w:r>
      <w:r>
        <w:fldChar w:fldCharType="begin"/>
      </w:r>
      <w:r>
        <w:instrText xml:space="preserve"> HYPERLINK "https://www.spkc.gov.lv/lv/ieteikumi-un-veidlapas-zinosanai-par-infekcijas-slimibu-gadijumiem" \h </w:instrText>
      </w:r>
      <w:r>
        <w:fldChar w:fldCharType="separate"/>
      </w:r>
      <w:r>
        <w:rPr>
          <w:rStyle w:val="13"/>
          <w:rFonts w:eastAsia="Times New Roman" w:cs="Times New Roman"/>
          <w:lang w:val="lv-LV"/>
        </w:rPr>
        <w:t>https://www.spkc.gov.lv/lv/ieteikumi-un-veidlapas-zinosanai-par-infekcijas-slimibu-gadijumiem</w:t>
      </w:r>
      <w:r>
        <w:rPr>
          <w:rStyle w:val="13"/>
          <w:rFonts w:eastAsia="Times New Roman" w:cs="Times New Roman"/>
          <w:lang w:val="lv-LV"/>
        </w:rPr>
        <w:fldChar w:fldCharType="end"/>
      </w:r>
    </w:p>
  </w:footnote>
  <w:footnote w:id="1">
    <w:p w14:paraId="7EC3AE2F">
      <w:pPr>
        <w:pStyle w:val="11"/>
      </w:pPr>
      <w:r>
        <w:rPr>
          <w:rStyle w:val="10"/>
        </w:rPr>
        <w:footnoteRef/>
      </w:r>
      <w:r>
        <w:rPr>
          <w:lang w:val="fr-FR"/>
        </w:rPr>
        <w:t xml:space="preserve"> Eiropas Slimību profilakses un kontroles centrs (ECDC). Ātrās zinātniskās rekomendācijas par kontaktpersonu pārvaldību un infekcijas profilakses un kontroles pasākumiem saistībā ar hantavīrusu uzliesmojumu. </w:t>
      </w:r>
      <w:r>
        <w:t xml:space="preserve">Pieejams: </w:t>
      </w:r>
      <w:r>
        <w:fldChar w:fldCharType="begin"/>
      </w:r>
      <w:r>
        <w:instrText xml:space="preserve"> HYPERLINK "https://www.ecdc.europa.eu/" \h </w:instrText>
      </w:r>
      <w:r>
        <w:fldChar w:fldCharType="separate"/>
      </w:r>
      <w:r>
        <w:rPr>
          <w:rStyle w:val="13"/>
        </w:rPr>
        <w:t>https://www.ecdc.europa.eu</w:t>
      </w:r>
      <w:r>
        <w:rPr>
          <w:rStyle w:val="13"/>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D5157"/>
    <w:multiLevelType w:val="multilevel"/>
    <w:tmpl w:val="471D51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47E98A01"/>
    <w:multiLevelType w:val="multilevel"/>
    <w:tmpl w:val="47E98A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4BD105C1"/>
    <w:multiLevelType w:val="multilevel"/>
    <w:tmpl w:val="4BD105C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rPr>
    </w:lvl>
    <w:lvl w:ilvl="8" w:tentative="0">
      <w:start w:val="1"/>
      <w:numFmt w:val="bullet"/>
      <w:lvlText w:val=""/>
      <w:lvlJc w:val="left"/>
      <w:pPr>
        <w:ind w:left="6840" w:hanging="360"/>
      </w:pPr>
      <w:rPr>
        <w:rFonts w:hint="default" w:ascii="Wingdings" w:hAnsi="Wingdings"/>
      </w:rPr>
    </w:lvl>
  </w:abstractNum>
  <w:abstractNum w:abstractNumId="3">
    <w:nsid w:val="50E272F3"/>
    <w:multiLevelType w:val="multilevel"/>
    <w:tmpl w:val="50E272F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4">
    <w:nsid w:val="66DDA422"/>
    <w:multiLevelType w:val="multilevel"/>
    <w:tmpl w:val="66DDA42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5">
    <w:nsid w:val="788AB3BD"/>
    <w:multiLevelType w:val="multilevel"/>
    <w:tmpl w:val="788AB3B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characterSpacingControl w:val="doNotCompress"/>
  <w:footnotePr>
    <w:footnote w:id="4"/>
    <w:footnote w:id="5"/>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CC"/>
    <w:rsid w:val="00020179"/>
    <w:rsid w:val="000C13F9"/>
    <w:rsid w:val="000D65D1"/>
    <w:rsid w:val="00112C48"/>
    <w:rsid w:val="00154B6E"/>
    <w:rsid w:val="00172A3B"/>
    <w:rsid w:val="00195A3A"/>
    <w:rsid w:val="001963C5"/>
    <w:rsid w:val="001B3C4F"/>
    <w:rsid w:val="001F3DE1"/>
    <w:rsid w:val="002079F2"/>
    <w:rsid w:val="00222B8B"/>
    <w:rsid w:val="00237C47"/>
    <w:rsid w:val="00247E9C"/>
    <w:rsid w:val="00280BAC"/>
    <w:rsid w:val="00376EF5"/>
    <w:rsid w:val="003A5E2C"/>
    <w:rsid w:val="003E7BBE"/>
    <w:rsid w:val="003F2940"/>
    <w:rsid w:val="003F6412"/>
    <w:rsid w:val="004049CF"/>
    <w:rsid w:val="00415D28"/>
    <w:rsid w:val="00443D6E"/>
    <w:rsid w:val="004568DF"/>
    <w:rsid w:val="00456D43"/>
    <w:rsid w:val="00477923"/>
    <w:rsid w:val="00480BD0"/>
    <w:rsid w:val="004A063D"/>
    <w:rsid w:val="00505CA0"/>
    <w:rsid w:val="005249D9"/>
    <w:rsid w:val="0055269A"/>
    <w:rsid w:val="00557E6D"/>
    <w:rsid w:val="005603D1"/>
    <w:rsid w:val="00587CC8"/>
    <w:rsid w:val="005D3E87"/>
    <w:rsid w:val="006765DF"/>
    <w:rsid w:val="006A3E8D"/>
    <w:rsid w:val="006D3FD6"/>
    <w:rsid w:val="006F058D"/>
    <w:rsid w:val="007112C8"/>
    <w:rsid w:val="00712160"/>
    <w:rsid w:val="007322A6"/>
    <w:rsid w:val="00784C77"/>
    <w:rsid w:val="007906BB"/>
    <w:rsid w:val="008220E2"/>
    <w:rsid w:val="00843260"/>
    <w:rsid w:val="00893003"/>
    <w:rsid w:val="008B15BC"/>
    <w:rsid w:val="008B6D06"/>
    <w:rsid w:val="008B742D"/>
    <w:rsid w:val="008C265B"/>
    <w:rsid w:val="00987215"/>
    <w:rsid w:val="00994AA3"/>
    <w:rsid w:val="009E26F3"/>
    <w:rsid w:val="00A152EE"/>
    <w:rsid w:val="00A23AAC"/>
    <w:rsid w:val="00A24A6B"/>
    <w:rsid w:val="00A277B8"/>
    <w:rsid w:val="00A91007"/>
    <w:rsid w:val="00AB5056"/>
    <w:rsid w:val="00B05611"/>
    <w:rsid w:val="00B16961"/>
    <w:rsid w:val="00B86B76"/>
    <w:rsid w:val="00BE7124"/>
    <w:rsid w:val="00BF3D96"/>
    <w:rsid w:val="00C12D6E"/>
    <w:rsid w:val="00C4438A"/>
    <w:rsid w:val="00C61FC8"/>
    <w:rsid w:val="00C92245"/>
    <w:rsid w:val="00CA27BF"/>
    <w:rsid w:val="00CB2202"/>
    <w:rsid w:val="00CB77F0"/>
    <w:rsid w:val="00CC1A82"/>
    <w:rsid w:val="00CC4F90"/>
    <w:rsid w:val="00CD015F"/>
    <w:rsid w:val="00CF1DCD"/>
    <w:rsid w:val="00D10826"/>
    <w:rsid w:val="00D5053F"/>
    <w:rsid w:val="00D831E1"/>
    <w:rsid w:val="00D92D62"/>
    <w:rsid w:val="00DC0153"/>
    <w:rsid w:val="00DC1881"/>
    <w:rsid w:val="00DE33E0"/>
    <w:rsid w:val="00E029CF"/>
    <w:rsid w:val="00E10BEB"/>
    <w:rsid w:val="00E33119"/>
    <w:rsid w:val="00E402D8"/>
    <w:rsid w:val="00E46716"/>
    <w:rsid w:val="00E46A48"/>
    <w:rsid w:val="00E55896"/>
    <w:rsid w:val="00E92ACC"/>
    <w:rsid w:val="00EC6B3B"/>
    <w:rsid w:val="00EE4551"/>
    <w:rsid w:val="00EE7EE5"/>
    <w:rsid w:val="00F0212A"/>
    <w:rsid w:val="00F057D7"/>
    <w:rsid w:val="00F470A0"/>
    <w:rsid w:val="00F84E4B"/>
    <w:rsid w:val="00FB54D0"/>
    <w:rsid w:val="00FE4CB2"/>
    <w:rsid w:val="0B9E682E"/>
    <w:rsid w:val="38C61A4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lv-LV" w:eastAsia="en-US" w:bidi="ar-SA"/>
    </w:rPr>
  </w:style>
  <w:style w:type="paragraph" w:styleId="2">
    <w:name w:val="heading 1"/>
    <w:basedOn w:val="1"/>
    <w:next w:val="1"/>
    <w:link w:val="15"/>
    <w:qFormat/>
    <w:uiPriority w:val="9"/>
    <w:pPr>
      <w:keepNext/>
      <w:jc w:val="center"/>
      <w:outlineLvl w:val="0"/>
    </w:pPr>
    <w:rPr>
      <w:b/>
      <w:bCs/>
    </w:rPr>
  </w:style>
  <w:style w:type="paragraph" w:styleId="3">
    <w:name w:val="heading 2"/>
    <w:basedOn w:val="1"/>
    <w:next w:val="1"/>
    <w:link w:val="16"/>
    <w:qFormat/>
    <w:uiPriority w:val="0"/>
    <w:pPr>
      <w:keepNext/>
      <w:tabs>
        <w:tab w:val="left" w:pos="495"/>
      </w:tabs>
      <w:ind w:left="495" w:hanging="495"/>
      <w:outlineLvl w:val="1"/>
    </w:pPr>
    <w:rPr>
      <w:b/>
    </w:rPr>
  </w:style>
  <w:style w:type="paragraph" w:styleId="4">
    <w:name w:val="heading 3"/>
    <w:basedOn w:val="1"/>
    <w:next w:val="1"/>
    <w:link w:val="17"/>
    <w:qFormat/>
    <w:uiPriority w:val="0"/>
    <w:pPr>
      <w:keepNext/>
      <w:outlineLvl w:val="2"/>
    </w:pPr>
    <w:rPr>
      <w:b/>
      <w:color w:val="FF0000"/>
      <w:sz w:val="44"/>
    </w:rPr>
  </w:style>
  <w:style w:type="paragraph" w:styleId="5">
    <w:name w:val="heading 4"/>
    <w:basedOn w:val="1"/>
    <w:link w:val="18"/>
    <w:qFormat/>
    <w:uiPriority w:val="9"/>
    <w:pPr>
      <w:spacing w:before="100" w:beforeAutospacing="1" w:after="100" w:afterAutospacing="1"/>
      <w:outlineLvl w:val="3"/>
    </w:pPr>
    <w:rPr>
      <w:b/>
      <w:bCs/>
    </w:rPr>
  </w:style>
  <w:style w:type="paragraph" w:styleId="6">
    <w:name w:val="heading 5"/>
    <w:basedOn w:val="1"/>
    <w:next w:val="1"/>
    <w:link w:val="19"/>
    <w:qFormat/>
    <w:uiPriority w:val="9"/>
    <w:pPr>
      <w:spacing w:before="240" w:after="60"/>
      <w:outlineLvl w:val="4"/>
    </w:pPr>
    <w:rPr>
      <w:rFonts w:ascii="Calibri" w:hAnsi="Calibri"/>
      <w:b/>
      <w:bCs/>
      <w:i/>
      <w:iCs/>
      <w:sz w:val="26"/>
      <w:szCs w:val="26"/>
      <w:lang w:val="en-AU" w:eastAsia="zh-C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footer"/>
    <w:basedOn w:val="1"/>
    <w:link w:val="25"/>
    <w:unhideWhenUsed/>
    <w:uiPriority w:val="99"/>
    <w:pPr>
      <w:tabs>
        <w:tab w:val="center" w:pos="4153"/>
        <w:tab w:val="right" w:pos="8306"/>
      </w:tabs>
    </w:pPr>
  </w:style>
  <w:style w:type="character" w:styleId="10">
    <w:name w:val="footnote reference"/>
    <w:basedOn w:val="7"/>
    <w:semiHidden/>
    <w:unhideWhenUsed/>
    <w:uiPriority w:val="99"/>
    <w:rPr>
      <w:vertAlign w:val="superscript"/>
    </w:rPr>
  </w:style>
  <w:style w:type="paragraph" w:styleId="11">
    <w:name w:val="footnote text"/>
    <w:basedOn w:val="1"/>
    <w:link w:val="28"/>
    <w:semiHidden/>
    <w:unhideWhenUsed/>
    <w:uiPriority w:val="99"/>
    <w:rPr>
      <w:rFonts w:eastAsia="MS Mincho" w:cs="Arial"/>
      <w:lang w:val="en-US" w:eastAsia="ja-JP"/>
    </w:rPr>
  </w:style>
  <w:style w:type="paragraph" w:styleId="12">
    <w:name w:val="header"/>
    <w:basedOn w:val="1"/>
    <w:link w:val="24"/>
    <w:uiPriority w:val="0"/>
    <w:pPr>
      <w:tabs>
        <w:tab w:val="center" w:pos="4320"/>
        <w:tab w:val="right" w:pos="8640"/>
      </w:tabs>
    </w:pPr>
    <w:rPr>
      <w:rFonts w:ascii="Arial" w:hAnsi="Arial"/>
      <w:sz w:val="24"/>
    </w:rPr>
  </w:style>
  <w:style w:type="character" w:styleId="13">
    <w:name w:val="Hyperlink"/>
    <w:basedOn w:val="7"/>
    <w:unhideWhenUsed/>
    <w:uiPriority w:val="99"/>
    <w:rPr>
      <w:color w:val="0563C1" w:themeColor="hyperlink"/>
      <w:u w:val="single"/>
      <w14:textFill>
        <w14:solidFill>
          <w14:schemeClr w14:val="hlink"/>
        </w14:solidFill>
      </w14:textFill>
    </w:rPr>
  </w:style>
  <w:style w:type="table" w:styleId="14">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ing 1 Char"/>
    <w:link w:val="2"/>
    <w:uiPriority w:val="9"/>
    <w:rPr>
      <w:b/>
      <w:bCs/>
      <w:sz w:val="24"/>
      <w:szCs w:val="24"/>
    </w:rPr>
  </w:style>
  <w:style w:type="character" w:customStyle="1" w:styleId="16">
    <w:name w:val="Heading 2 Char"/>
    <w:link w:val="3"/>
    <w:uiPriority w:val="0"/>
    <w:rPr>
      <w:b/>
      <w:sz w:val="24"/>
    </w:rPr>
  </w:style>
  <w:style w:type="character" w:customStyle="1" w:styleId="17">
    <w:name w:val="Heading 3 Char"/>
    <w:link w:val="4"/>
    <w:uiPriority w:val="0"/>
    <w:rPr>
      <w:b/>
      <w:color w:val="FF0000"/>
      <w:sz w:val="44"/>
    </w:rPr>
  </w:style>
  <w:style w:type="character" w:customStyle="1" w:styleId="18">
    <w:name w:val="Heading 4 Char"/>
    <w:link w:val="5"/>
    <w:uiPriority w:val="9"/>
    <w:rPr>
      <w:b/>
      <w:bCs/>
      <w:sz w:val="24"/>
      <w:szCs w:val="24"/>
    </w:rPr>
  </w:style>
  <w:style w:type="character" w:customStyle="1" w:styleId="19">
    <w:name w:val="Heading 5 Char"/>
    <w:link w:val="6"/>
    <w:uiPriority w:val="9"/>
    <w:rPr>
      <w:rFonts w:ascii="Calibri" w:hAnsi="Calibri"/>
      <w:b/>
      <w:bCs/>
      <w:i/>
      <w:iCs/>
      <w:sz w:val="26"/>
      <w:szCs w:val="26"/>
      <w:lang w:val="en-AU" w:eastAsia="zh-CN"/>
    </w:rPr>
  </w:style>
  <w:style w:type="paragraph" w:styleId="20">
    <w:name w:val="No Spacing"/>
    <w:qFormat/>
    <w:uiPriority w:val="1"/>
    <w:rPr>
      <w:rFonts w:ascii="Calibri" w:hAnsi="Calibri" w:eastAsia="Calibri" w:cs="Times New Roman"/>
      <w:sz w:val="22"/>
      <w:szCs w:val="22"/>
      <w:lang w:val="lv-LV" w:eastAsia="en-US" w:bidi="ar-SA"/>
    </w:rPr>
  </w:style>
  <w:style w:type="paragraph" w:styleId="21">
    <w:name w:val="List Paragraph"/>
    <w:basedOn w:val="1"/>
    <w:qFormat/>
    <w:uiPriority w:val="34"/>
    <w:pPr>
      <w:spacing w:after="200" w:line="276" w:lineRule="auto"/>
      <w:ind w:left="720"/>
      <w:contextualSpacing/>
    </w:pPr>
    <w:rPr>
      <w:rFonts w:ascii="Calibri" w:hAnsi="Calibri"/>
      <w:sz w:val="22"/>
      <w:szCs w:val="22"/>
    </w:rPr>
  </w:style>
  <w:style w:type="paragraph" w:styleId="22">
    <w:name w:val="Quote"/>
    <w:basedOn w:val="1"/>
    <w:next w:val="1"/>
    <w:link w:val="23"/>
    <w:qFormat/>
    <w:uiPriority w:val="29"/>
    <w:rPr>
      <w:i/>
      <w:sz w:val="28"/>
      <w:szCs w:val="28"/>
    </w:rPr>
  </w:style>
  <w:style w:type="character" w:customStyle="1" w:styleId="23">
    <w:name w:val="Quote Char"/>
    <w:link w:val="22"/>
    <w:uiPriority w:val="29"/>
    <w:rPr>
      <w:i/>
      <w:sz w:val="28"/>
      <w:szCs w:val="28"/>
    </w:rPr>
  </w:style>
  <w:style w:type="character" w:customStyle="1" w:styleId="24">
    <w:name w:val="Header Char"/>
    <w:link w:val="12"/>
    <w:uiPriority w:val="0"/>
    <w:rPr>
      <w:rFonts w:ascii="Arial" w:hAnsi="Arial" w:eastAsia="Times New Roman"/>
      <w:sz w:val="24"/>
      <w:lang w:eastAsia="en-US"/>
    </w:rPr>
  </w:style>
  <w:style w:type="character" w:customStyle="1" w:styleId="25">
    <w:name w:val="Footer Char"/>
    <w:link w:val="9"/>
    <w:uiPriority w:val="99"/>
    <w:rPr>
      <w:rFonts w:eastAsia="Times New Roman"/>
      <w:lang w:eastAsia="en-US"/>
    </w:rPr>
  </w:style>
  <w:style w:type="paragraph" w:customStyle="1" w:styleId="26">
    <w:name w:val="Body B"/>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Arial Unicode MS"/>
      <w:color w:val="000000"/>
      <w:sz w:val="24"/>
      <w:szCs w:val="24"/>
      <w:u w:color="000000"/>
      <w:lang w:val="lv-LV" w:eastAsia="lv-LV" w:bidi="ar-SA"/>
    </w:rPr>
  </w:style>
  <w:style w:type="character" w:customStyle="1" w:styleId="27">
    <w:name w:val="Unresolved Mention"/>
    <w:basedOn w:val="7"/>
    <w:semiHidden/>
    <w:unhideWhenUsed/>
    <w:uiPriority w:val="99"/>
    <w:rPr>
      <w:color w:val="605E5C"/>
      <w:shd w:val="clear" w:color="auto" w:fill="E1DFDD"/>
    </w:rPr>
  </w:style>
  <w:style w:type="character" w:customStyle="1" w:styleId="28">
    <w:name w:val="Footnote Text Char"/>
    <w:basedOn w:val="7"/>
    <w:link w:val="11"/>
    <w:semiHidden/>
    <w:uiPriority w:val="99"/>
    <w:rPr>
      <w:rFonts w:eastAsia="MS Mincho" w:cs="Arial"/>
      <w:lang w:val="en-US" w:eastAsia="ja-JP"/>
    </w:rPr>
  </w:style>
  <w:style w:type="table" w:customStyle="1" w:styleId="29">
    <w:name w:val="Table Grid1"/>
    <w:basedOn w:val="8"/>
    <w:uiPriority w:val="59"/>
    <w:rPr>
      <w:rFonts w:eastAsia="MS Mincho" w:cs="Arial"/>
      <w:sz w:val="24"/>
      <w:szCs w:val="24"/>
      <w:lang w:val="en-US" w:eastAsia="ja-JP"/>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Template>
  <Pages>5</Pages>
  <Words>1104</Words>
  <Characters>8010</Characters>
  <Lines>68</Lines>
  <Paragraphs>19</Paragraphs>
  <TotalTime>18</TotalTime>
  <ScaleCrop>false</ScaleCrop>
  <LinksUpToDate>false</LinksUpToDate>
  <CharactersWithSpaces>9062</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2020-02-27T07:31:00Z</dcterms:created>
  <dc:creator>Rita Pavlovica</dc:creator>
  <cp:lastModifiedBy>Edite.Tettere</cp:lastModifiedBy>
  <cp:lastPrinted>2016-02-15T06:53:00Z</cp:lastPrinted>
  <dcterms:modified xsi:type="dcterms:W3CDTF">2026-05-15T08:30:38Z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eyJoZGlkIjoiMTg0ZDdhMmFjY2EzM2UzODhkMzZkZjEzMGEyOGRlZDAifQ==</vt:lpwstr>
  </property>
  <property fmtid="{D5CDD505-2E9C-101B-9397-08002B2CF9AE}" pid="3" name="KSOProductBuildVer">
    <vt:lpwstr>1033-12.1.0.26372</vt:lpwstr>
  </property>
  <property fmtid="{D5CDD505-2E9C-101B-9397-08002B2CF9AE}" pid="4" name="ICV">
    <vt:lpwstr>121F9A61DCA64C168420A74CA5C81A61_12</vt:lpwstr>
  </property>
</Properties>
</file>