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2B4A">
      <w:pPr>
        <w:spacing w:before="360"/>
        <w:jc w:val="center"/>
        <w:rPr>
          <w:sz w:val="17"/>
          <w:szCs w:val="17"/>
        </w:rPr>
      </w:pPr>
      <w:r>
        <w:rPr>
          <w:lang w:eastAsia="lv-LV"/>
        </w:rPr>
        <w:drawing>
          <wp:anchor distT="0" distB="0" distL="114300" distR="114300" simplePos="0" relativeHeight="251660288" behindDoc="1" locked="0" layoutInCell="1" allowOverlap="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68645" cy="1032510"/>
                    </a:xfrm>
                    <a:prstGeom prst="rect">
                      <a:avLst/>
                    </a:prstGeom>
                    <a:noFill/>
                  </pic:spPr>
                </pic:pic>
              </a:graphicData>
            </a:graphic>
          </wp:anchor>
        </w:drawing>
      </w:r>
      <w:r>
        <w:rPr>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ln>
                        </wps:spPr>
                        <wps:bodyPr rot="0" vert="horz" wrap="square" lIns="91440" tIns="45720" rIns="91440" bIns="45720" anchor="t" anchorCtr="0" upright="1"/>
                      </wps:wsp>
                    </wpg:wgp>
                  </a:graphicData>
                </a:graphic>
              </wp:anchor>
            </w:drawing>
          </mc:Choice>
          <mc:Fallback>
            <w:pict>
              <v:group id="Group 41" o:spid="_x0000_s1026" o:spt="203" style="position:absolute;left:0pt;margin-left:145.7pt;margin-top:150.5pt;height:0.1pt;width:346.25pt;mso-position-horizontal-relative:page;mso-position-vertical-relative:page;z-index:-251657216;mso-width-relative:page;mso-height-relative:page;" coordorigin="2915,2998" coordsize="6926,2" o:gfxdata="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CQ3kRR2gAAAAsBAAAPAAAAAAAA&#10;AAEAIAAAACIAAABkcnMvZG93bnJldi54bWxQSwECFAAUAAAACACHTuJAf+ZJT/QCAADSBgAADgAA&#10;AAAAAAABACAAAAApAQAAZHJzL2Uyb0RvYy54bWxQSwUGAAAAAAYABgBZAQAAjwYAAAAA&#10;">
                <o:lock v:ext="edit" aspectratio="f"/>
                <v:shape id="Freeform 42" o:spid="_x0000_s1026" o:spt="100" style="position:absolute;left:2915;top:2998;height:2;width:6926;" filled="f" stroked="t" coordsize="6926,1" o:gfxdata="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ji1i8AAAA&#10;2gAAAA8AAAAAAAAAAQAgAAAAIgAAAGRycy9kb3ducmV2LnhtbFBLAQIUABQAAAAIAIdO4kAzLwWe&#10;OwAAADkAAAAQAAAAAAAAAAEAIAAAAAsBAABkcnMvc2hhcGV4bWwueG1sUEsFBgAAAAAGAAYAWwEA&#10;ALUDAAAAAA==&#10;" path="m0,0l6926,0e">
                  <v:path o:connectlocs="0,0;6926,0" o:connectangles="0,0"/>
                  <v:fill on="f" focussize="0,0"/>
                  <v:stroke weight="0.25pt" color="#231F20" joinstyle="round"/>
                  <v:imagedata o:title=""/>
                  <o:lock v:ext="edit" aspectratio="f"/>
                </v:shape>
              </v:group>
            </w:pict>
          </mc:Fallback>
        </mc:AlternateContent>
      </w:r>
      <w:r>
        <w:rPr>
          <w:color w:val="231F20"/>
          <w:sz w:val="17"/>
          <w:szCs w:val="17"/>
        </w:rPr>
        <w:t>Duntes iela 22, K-5, Rīga, LV-1005, tālr. 67501590, fakss 67501591, e-pasts pasts@spkc.gov.lv</w:t>
      </w:r>
    </w:p>
    <w:p w14:paraId="739E8049">
      <w:pPr>
        <w:pStyle w:val="10"/>
        <w:tabs>
          <w:tab w:val="clear" w:pos="4320"/>
        </w:tabs>
        <w:spacing w:before="480" w:after="480"/>
        <w:jc w:val="center"/>
        <w:rPr>
          <w:rFonts w:ascii="Times New Roman" w:hAnsi="Times New Roman"/>
        </w:rPr>
      </w:pPr>
      <w:r>
        <w:rPr>
          <w:rFonts w:ascii="Times New Roman" w:hAnsi="Times New Roman"/>
        </w:rPr>
        <w:t xml:space="preserve">Rīgā </w:t>
      </w:r>
    </w:p>
    <w:p w14:paraId="536E061D">
      <w:pPr>
        <w:pStyle w:val="10"/>
        <w:tabs>
          <w:tab w:val="clear" w:pos="4320"/>
          <w:tab w:val="clear" w:pos="8640"/>
        </w:tabs>
        <w:spacing w:before="480" w:after="480"/>
        <w:ind w:right="4535"/>
        <w:jc w:val="both"/>
        <w:rPr>
          <w:rFonts w:ascii="Times New Roman" w:hAnsi="Times New Roman"/>
          <w:b/>
          <w:i/>
        </w:rPr>
      </w:pPr>
      <w:bookmarkStart w:id="0" w:name="_GoBack"/>
      <w:bookmarkEnd w:id="0"/>
      <w:r>
        <w:rPr>
          <w:rFonts w:ascii="Times New Roman" w:hAnsi="Times New Roman"/>
          <w:b/>
          <w:i/>
        </w:rPr>
        <w:t>Par masalu uzliesmojumu</w:t>
      </w:r>
    </w:p>
    <w:p w14:paraId="3EED7847">
      <w:pPr>
        <w:tabs>
          <w:tab w:val="left" w:pos="1134"/>
        </w:tabs>
        <w:ind w:firstLine="720"/>
        <w:jc w:val="both"/>
        <w:rPr>
          <w:sz w:val="24"/>
          <w:szCs w:val="24"/>
        </w:rPr>
      </w:pPr>
      <w:r>
        <w:rPr>
          <w:sz w:val="24"/>
          <w:szCs w:val="24"/>
        </w:rPr>
        <w:t xml:space="preserve">Slimību profilakses un kontroles centrs (turpmāk – Centrs) veic masalu uzliesmojuma epidemioloģisko izmeklēšanu un organizē infekcijas kontroles pasākumus. Līdz š. g. 17. martam reģistrēti trīs epidemioloģiski savstarpēji saistīti laboratoriski apstiprināti gadījumi un divi aizdomīgi gadījumi, kuru laboratoriskās pārbaudes rezultāti tiek gaidīti. Četri no minētajiem gadījumiem reģistrēti vienā izglītības iestādē. Kopējais apzināto kontaktpersonu skaits ir liels (vismaz 840 personas) gan skolā, gan ārpus tās, tostarp citās skolās, pacientu ģimenēs, ārstniecības iestādēs, starptautiskajos transporta līdzekļos un publiskajās vietās un pasākumos. Kontaktpersonām ir sniegtas rekomendācijas un informēti ģimenes ārsti medicīniskās novērošanas nodrošināšanai. Turpmākās infekcijas izplatīšanas risks, jo īpaši nevakcinēto personu vidū, vērtējams kā augsts. Turklāt nav iespējams apzināt visas kontaktpersonas, sevišķi gadījuma kontaktus publiskajās vietās. </w:t>
      </w:r>
    </w:p>
    <w:p w14:paraId="372C0B4B">
      <w:pPr>
        <w:tabs>
          <w:tab w:val="left" w:pos="1134"/>
        </w:tabs>
        <w:ind w:firstLine="720"/>
        <w:jc w:val="both"/>
        <w:rPr>
          <w:sz w:val="24"/>
          <w:szCs w:val="24"/>
        </w:rPr>
      </w:pPr>
      <w:r>
        <w:rPr>
          <w:sz w:val="24"/>
          <w:szCs w:val="24"/>
        </w:rPr>
        <w:t>Lai laikus organizētu infekcijas kontroles pasākumus masalu perēkļos un nepieļautu infekcijas izplatīšanos, aicinām ārstniecības personas:</w:t>
      </w:r>
    </w:p>
    <w:p w14:paraId="2FBA0B5F">
      <w:pPr>
        <w:tabs>
          <w:tab w:val="left" w:pos="1134"/>
        </w:tabs>
        <w:ind w:firstLine="720"/>
        <w:jc w:val="both"/>
        <w:rPr>
          <w:sz w:val="24"/>
          <w:szCs w:val="24"/>
        </w:rPr>
      </w:pPr>
      <w:r>
        <w:rPr>
          <w:sz w:val="24"/>
          <w:szCs w:val="24"/>
        </w:rPr>
        <w:t>•</w:t>
      </w:r>
      <w:r>
        <w:rPr>
          <w:sz w:val="24"/>
          <w:szCs w:val="24"/>
        </w:rPr>
        <w:tab/>
      </w:r>
      <w:r>
        <w:rPr>
          <w:sz w:val="24"/>
          <w:szCs w:val="24"/>
        </w:rPr>
        <w:t>pievērst pastiprinātu uzmanību masalu klīniskajām pazīmēm;</w:t>
      </w:r>
    </w:p>
    <w:p w14:paraId="0F530E29">
      <w:pPr>
        <w:tabs>
          <w:tab w:val="left" w:pos="1134"/>
        </w:tabs>
        <w:ind w:firstLine="720"/>
        <w:jc w:val="both"/>
        <w:rPr>
          <w:sz w:val="24"/>
          <w:szCs w:val="24"/>
        </w:rPr>
      </w:pPr>
      <w:r>
        <w:rPr>
          <w:sz w:val="24"/>
          <w:szCs w:val="24"/>
        </w:rPr>
        <w:t>•</w:t>
      </w:r>
      <w:r>
        <w:rPr>
          <w:sz w:val="24"/>
          <w:szCs w:val="24"/>
        </w:rPr>
        <w:tab/>
      </w:r>
      <w:r>
        <w:rPr>
          <w:sz w:val="24"/>
          <w:szCs w:val="24"/>
        </w:rPr>
        <w:t>nekavējoties nodrošināt ikviena aizdomīgā gadījuma laboratorisko pārbaudi;</w:t>
      </w:r>
    </w:p>
    <w:p w14:paraId="0052FBC9">
      <w:pPr>
        <w:tabs>
          <w:tab w:val="left" w:pos="1134"/>
        </w:tabs>
        <w:ind w:firstLine="720"/>
        <w:jc w:val="both"/>
        <w:rPr>
          <w:sz w:val="24"/>
          <w:szCs w:val="24"/>
        </w:rPr>
      </w:pPr>
      <w:r>
        <w:rPr>
          <w:sz w:val="24"/>
          <w:szCs w:val="24"/>
        </w:rPr>
        <w:t>•</w:t>
      </w:r>
      <w:r>
        <w:rPr>
          <w:sz w:val="24"/>
          <w:szCs w:val="24"/>
        </w:rPr>
        <w:tab/>
      </w:r>
      <w:r>
        <w:rPr>
          <w:sz w:val="24"/>
          <w:szCs w:val="24"/>
        </w:rPr>
        <w:t>nekavējoties ziņot Centram par visiem aizdomīgiem masalu gadījumiem, negaidot laboratorisko izmeklējumu rezultātus.</w:t>
      </w:r>
    </w:p>
    <w:p w14:paraId="0A920D0A">
      <w:pPr>
        <w:tabs>
          <w:tab w:val="left" w:pos="1134"/>
        </w:tabs>
        <w:ind w:firstLine="720"/>
        <w:jc w:val="both"/>
        <w:rPr>
          <w:sz w:val="24"/>
          <w:szCs w:val="24"/>
        </w:rPr>
      </w:pPr>
      <w:r>
        <w:rPr>
          <w:sz w:val="24"/>
          <w:szCs w:val="24"/>
        </w:rPr>
        <w:t xml:space="preserve">Lūdzam atkārtoti iepazīties ar metodisko materiālu “Masalas. Informācija un ieteikumi ārstniecības personām”, ko Centrs izstrādājis sadarbībā ar SIA “Rīgas Austrumu klīniskās universitātes slimnīca” Nacionālo mikrobioloģijas references laboratoriju, lai veicinātu gatavību un nodrošinātu vienotu rīcību masalu gadījumu atklāšanā, laboratoriskajā apstiprināšanā un ziņošanā par tiem, kā arī nepieciešamo infekcijas kontroles pasākumu īstenošanā (pielikumā). Metodiskais materiāls ir pieejams arī Centra tīmekļa vietnē: </w:t>
      </w:r>
      <w:r>
        <w:fldChar w:fldCharType="begin"/>
      </w:r>
      <w:r>
        <w:instrText xml:space="preserve"> HYPERLINK "https://www.spkc.gov.lv/lv/masalas" </w:instrText>
      </w:r>
      <w:r>
        <w:fldChar w:fldCharType="separate"/>
      </w:r>
      <w:r>
        <w:rPr>
          <w:rStyle w:val="11"/>
          <w:sz w:val="24"/>
          <w:szCs w:val="24"/>
        </w:rPr>
        <w:t>https://www.spkc.gov.lv/lv/masalas</w:t>
      </w:r>
      <w:r>
        <w:rPr>
          <w:rStyle w:val="11"/>
          <w:sz w:val="24"/>
          <w:szCs w:val="24"/>
        </w:rPr>
        <w:fldChar w:fldCharType="end"/>
      </w:r>
      <w:r>
        <w:rPr>
          <w:sz w:val="24"/>
          <w:szCs w:val="24"/>
        </w:rPr>
        <w:t>.</w:t>
      </w:r>
    </w:p>
    <w:p w14:paraId="200AE2E5">
      <w:pPr>
        <w:tabs>
          <w:tab w:val="left" w:pos="1134"/>
        </w:tabs>
        <w:ind w:firstLine="720"/>
        <w:jc w:val="both"/>
        <w:rPr>
          <w:sz w:val="24"/>
          <w:szCs w:val="24"/>
        </w:rPr>
      </w:pPr>
      <w:r>
        <w:rPr>
          <w:sz w:val="24"/>
          <w:szCs w:val="24"/>
        </w:rPr>
        <w:t>Lai novērstu masalu izplatīšanos, Centrs aicina ģimenes ārstus pārskatīt praksē reģistrēto bērnu vakcinācijas statusu un vakcinēt pret masalām tos bērnus, kuri nav saņēmuši vakcināciju atbilstoši vakcinācijas kalendāram, tostarp bērnus, kuri sasnieguši 7 gadu vecumu, bet līdz šim saņēmuši tikai vienu vakcīnas devu. Atgādinām, ka valsts apmaksāta vakcinācija pret masalām ir pieejama arī jauniešiem līdz 25 gadu vecumam.</w:t>
      </w:r>
    </w:p>
    <w:p w14:paraId="5CAF3E20">
      <w:pPr>
        <w:tabs>
          <w:tab w:val="left" w:pos="1134"/>
        </w:tabs>
        <w:ind w:firstLine="720"/>
        <w:jc w:val="both"/>
        <w:rPr>
          <w:sz w:val="24"/>
          <w:szCs w:val="24"/>
        </w:rPr>
      </w:pPr>
      <w:r>
        <w:rPr>
          <w:sz w:val="24"/>
          <w:szCs w:val="24"/>
        </w:rPr>
        <w:t>Starptautiskā pieredze liecina, ka masalas nereti izplatās ārstniecības iestādēs, tādēļ aicinām izvērtēt darbinieku vakcinācijas statusu un ieteikt vakcināciju nepieciešamības gadījumā, kā arī stingri ievērot Metodiskajā materiālā noteiktos piesardzības pasākumus.</w:t>
      </w:r>
    </w:p>
    <w:p w14:paraId="49EF4580">
      <w:pPr>
        <w:tabs>
          <w:tab w:val="left" w:pos="1134"/>
        </w:tabs>
        <w:ind w:firstLine="720"/>
        <w:jc w:val="both"/>
        <w:rPr>
          <w:sz w:val="24"/>
          <w:szCs w:val="24"/>
        </w:rPr>
      </w:pPr>
      <w:r>
        <w:rPr>
          <w:sz w:val="24"/>
          <w:szCs w:val="24"/>
        </w:rPr>
        <w:t>Centrs atgādina, ka nepieciešamības gadījumā kombinētu vakcīnu pret masalām, masaliņām un epidēmisko parotītu (MMR) var pasūtīt un saņemt ārpus kārtas 24 stundu laikā .</w:t>
      </w:r>
    </w:p>
    <w:p w14:paraId="7B4A28FF">
      <w:pPr>
        <w:tabs>
          <w:tab w:val="left" w:pos="1134"/>
        </w:tabs>
        <w:ind w:firstLine="720"/>
        <w:jc w:val="both"/>
        <w:rPr>
          <w:sz w:val="24"/>
          <w:szCs w:val="24"/>
        </w:rPr>
      </w:pPr>
      <w:r>
        <w:rPr>
          <w:sz w:val="24"/>
          <w:szCs w:val="24"/>
        </w:rPr>
        <w:t>Aicinām sekot līdzi aktuālajai epidemioloģiskajai situācijai Centra tīmekļa vietnē.</w:t>
      </w:r>
    </w:p>
    <w:p w14:paraId="6713B53F">
      <w:pPr>
        <w:tabs>
          <w:tab w:val="left" w:pos="1134"/>
        </w:tabs>
        <w:ind w:firstLine="720"/>
        <w:jc w:val="both"/>
        <w:rPr>
          <w:sz w:val="24"/>
          <w:szCs w:val="24"/>
        </w:rPr>
      </w:pPr>
      <w:r>
        <w:rPr>
          <w:sz w:val="24"/>
          <w:szCs w:val="24"/>
        </w:rPr>
        <w:t>Lūdzam izplatīt šo vēstuli Jūsu biedrības locekļiem un slimnīcu ieinteresētajām ārstniecības personām.</w:t>
      </w:r>
    </w:p>
    <w:p w14:paraId="7A1D2067">
      <w:pPr>
        <w:tabs>
          <w:tab w:val="left" w:pos="1134"/>
        </w:tabs>
        <w:ind w:firstLine="720"/>
        <w:jc w:val="both"/>
        <w:rPr>
          <w:sz w:val="24"/>
          <w:szCs w:val="24"/>
        </w:rPr>
      </w:pPr>
    </w:p>
    <w:p w14:paraId="4A710C8C">
      <w:pPr>
        <w:tabs>
          <w:tab w:val="left" w:pos="1134"/>
        </w:tabs>
        <w:ind w:firstLine="720"/>
        <w:jc w:val="both"/>
        <w:rPr>
          <w:sz w:val="24"/>
          <w:szCs w:val="24"/>
        </w:rPr>
      </w:pPr>
      <w:r>
        <w:rPr>
          <w:sz w:val="24"/>
          <w:szCs w:val="24"/>
        </w:rPr>
        <w:t>Pielikumā: Metodiskais materiāls “Masalas. Informācija un ieteikumi ārstniecības personām”.</w:t>
      </w:r>
    </w:p>
    <w:p w14:paraId="6DFB3DE2">
      <w:pPr>
        <w:tabs>
          <w:tab w:val="left" w:pos="6804"/>
        </w:tabs>
        <w:spacing w:before="480" w:after="480"/>
        <w:jc w:val="both"/>
        <w:rPr>
          <w:sz w:val="24"/>
          <w:szCs w:val="24"/>
        </w:rPr>
      </w:pPr>
      <w:r>
        <w:rPr>
          <w:sz w:val="24"/>
          <w:szCs w:val="24"/>
        </w:rPr>
        <w:t>Direktora p.i.</w:t>
      </w:r>
      <w:r>
        <w:rPr>
          <w:sz w:val="24"/>
          <w:szCs w:val="24"/>
        </w:rPr>
        <w:tab/>
      </w:r>
      <w:r>
        <w:rPr>
          <w:sz w:val="24"/>
          <w:szCs w:val="24"/>
          <w:lang w:eastAsia="lv-LV"/>
        </w:rPr>
        <w:t>Dzintars Mozgis</w:t>
      </w:r>
    </w:p>
    <w:sectPr>
      <w:footerReference r:id="rId3" w:type="default"/>
      <w:pgSz w:w="11906" w:h="16838"/>
      <w:pgMar w:top="1134"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BA"/>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2A5B">
    <w:pPr>
      <w:pStyle w:val="9"/>
      <w:jc w:val="center"/>
    </w:pPr>
    <w:r>
      <w:t>DOKUMENTS PARAKSTĪTS ELEKTRONISKI AR DROŠU ELEKTRONISKO PARAKSTU</w:t>
    </w:r>
  </w:p>
  <w:p w14:paraId="4C979862">
    <w:pPr>
      <w:pStyle w:val="9"/>
      <w:jc w:val="center"/>
    </w:pPr>
    <w:r>
      <w:t xml:space="preserve">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attachedTemplate r:id="rId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CC"/>
    <w:rsid w:val="00010501"/>
    <w:rsid w:val="00020179"/>
    <w:rsid w:val="000D65D1"/>
    <w:rsid w:val="00112C48"/>
    <w:rsid w:val="00154B6E"/>
    <w:rsid w:val="00172A3B"/>
    <w:rsid w:val="00195A3A"/>
    <w:rsid w:val="001963C5"/>
    <w:rsid w:val="001B3C4F"/>
    <w:rsid w:val="001F3DE1"/>
    <w:rsid w:val="002079F2"/>
    <w:rsid w:val="00222B8B"/>
    <w:rsid w:val="00237C47"/>
    <w:rsid w:val="00247E9C"/>
    <w:rsid w:val="00280BAC"/>
    <w:rsid w:val="002955D9"/>
    <w:rsid w:val="00357E75"/>
    <w:rsid w:val="00376EF5"/>
    <w:rsid w:val="003A5E2C"/>
    <w:rsid w:val="003E7BBE"/>
    <w:rsid w:val="003F2940"/>
    <w:rsid w:val="003F6412"/>
    <w:rsid w:val="004126EE"/>
    <w:rsid w:val="00415D28"/>
    <w:rsid w:val="00443D6E"/>
    <w:rsid w:val="004568DF"/>
    <w:rsid w:val="00456D43"/>
    <w:rsid w:val="00477923"/>
    <w:rsid w:val="00480BD0"/>
    <w:rsid w:val="004A063D"/>
    <w:rsid w:val="00505CA0"/>
    <w:rsid w:val="005249D9"/>
    <w:rsid w:val="00532CC5"/>
    <w:rsid w:val="0055269A"/>
    <w:rsid w:val="005603D1"/>
    <w:rsid w:val="005875A0"/>
    <w:rsid w:val="00587CC8"/>
    <w:rsid w:val="005905C3"/>
    <w:rsid w:val="005D3E87"/>
    <w:rsid w:val="00626692"/>
    <w:rsid w:val="006765DF"/>
    <w:rsid w:val="00682E3E"/>
    <w:rsid w:val="006A3E8D"/>
    <w:rsid w:val="006D3FD6"/>
    <w:rsid w:val="007322A6"/>
    <w:rsid w:val="00784C77"/>
    <w:rsid w:val="007906BB"/>
    <w:rsid w:val="007F76DE"/>
    <w:rsid w:val="00893003"/>
    <w:rsid w:val="008B15BC"/>
    <w:rsid w:val="008B6D06"/>
    <w:rsid w:val="008B742D"/>
    <w:rsid w:val="008C265B"/>
    <w:rsid w:val="00954468"/>
    <w:rsid w:val="00987215"/>
    <w:rsid w:val="00994AA3"/>
    <w:rsid w:val="009E26F3"/>
    <w:rsid w:val="00A23AAC"/>
    <w:rsid w:val="00A24A6B"/>
    <w:rsid w:val="00A277B8"/>
    <w:rsid w:val="00A4251F"/>
    <w:rsid w:val="00A91007"/>
    <w:rsid w:val="00B05611"/>
    <w:rsid w:val="00B16961"/>
    <w:rsid w:val="00B86B76"/>
    <w:rsid w:val="00BE7124"/>
    <w:rsid w:val="00BF3D96"/>
    <w:rsid w:val="00C12D6E"/>
    <w:rsid w:val="00C4438A"/>
    <w:rsid w:val="00C92245"/>
    <w:rsid w:val="00CA27BF"/>
    <w:rsid w:val="00CB2202"/>
    <w:rsid w:val="00CB77F0"/>
    <w:rsid w:val="00CC1A82"/>
    <w:rsid w:val="00CC4F90"/>
    <w:rsid w:val="00CD015F"/>
    <w:rsid w:val="00CE11C5"/>
    <w:rsid w:val="00D41154"/>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84E4B"/>
    <w:rsid w:val="00FA0204"/>
    <w:rsid w:val="00FB54D0"/>
    <w:rsid w:val="00FE4CB2"/>
    <w:rsid w:val="34D5369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lv-LV" w:eastAsia="en-US" w:bidi="ar-SA"/>
    </w:rPr>
  </w:style>
  <w:style w:type="paragraph" w:styleId="2">
    <w:name w:val="heading 1"/>
    <w:basedOn w:val="1"/>
    <w:next w:val="1"/>
    <w:link w:val="13"/>
    <w:qFormat/>
    <w:uiPriority w:val="9"/>
    <w:pPr>
      <w:keepNext/>
      <w:jc w:val="center"/>
      <w:outlineLvl w:val="0"/>
    </w:pPr>
    <w:rPr>
      <w:b/>
      <w:bCs/>
    </w:rPr>
  </w:style>
  <w:style w:type="paragraph" w:styleId="3">
    <w:name w:val="heading 2"/>
    <w:basedOn w:val="1"/>
    <w:next w:val="1"/>
    <w:link w:val="14"/>
    <w:qFormat/>
    <w:uiPriority w:val="0"/>
    <w:pPr>
      <w:keepNext/>
      <w:tabs>
        <w:tab w:val="left" w:pos="495"/>
      </w:tabs>
      <w:ind w:left="495" w:hanging="495"/>
      <w:outlineLvl w:val="1"/>
    </w:pPr>
    <w:rPr>
      <w:b/>
    </w:rPr>
  </w:style>
  <w:style w:type="paragraph" w:styleId="4">
    <w:name w:val="heading 3"/>
    <w:basedOn w:val="1"/>
    <w:next w:val="1"/>
    <w:link w:val="15"/>
    <w:qFormat/>
    <w:uiPriority w:val="0"/>
    <w:pPr>
      <w:keepNext/>
      <w:outlineLvl w:val="2"/>
    </w:pPr>
    <w:rPr>
      <w:b/>
      <w:color w:val="FF0000"/>
      <w:sz w:val="44"/>
    </w:rPr>
  </w:style>
  <w:style w:type="paragraph" w:styleId="5">
    <w:name w:val="heading 4"/>
    <w:basedOn w:val="1"/>
    <w:link w:val="16"/>
    <w:qFormat/>
    <w:uiPriority w:val="9"/>
    <w:pPr>
      <w:spacing w:before="100" w:beforeAutospacing="1" w:after="100" w:afterAutospacing="1"/>
      <w:outlineLvl w:val="3"/>
    </w:pPr>
    <w:rPr>
      <w:b/>
      <w:bCs/>
    </w:rPr>
  </w:style>
  <w:style w:type="paragraph" w:styleId="6">
    <w:name w:val="heading 5"/>
    <w:basedOn w:val="1"/>
    <w:next w:val="1"/>
    <w:link w:val="17"/>
    <w:qFormat/>
    <w:uiPriority w:val="9"/>
    <w:pPr>
      <w:spacing w:before="240" w:after="60"/>
      <w:outlineLvl w:val="4"/>
    </w:pPr>
    <w:rPr>
      <w:rFonts w:ascii="Calibri" w:hAnsi="Calibri"/>
      <w:b/>
      <w:bCs/>
      <w:i/>
      <w:iCs/>
      <w:sz w:val="26"/>
      <w:szCs w:val="26"/>
      <w:lang w:val="en-AU" w:eastAsia="zh-CN"/>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footer"/>
    <w:basedOn w:val="1"/>
    <w:link w:val="23"/>
    <w:unhideWhenUsed/>
    <w:uiPriority w:val="99"/>
    <w:pPr>
      <w:tabs>
        <w:tab w:val="center" w:pos="4153"/>
        <w:tab w:val="right" w:pos="8306"/>
      </w:tabs>
    </w:pPr>
  </w:style>
  <w:style w:type="paragraph" w:styleId="10">
    <w:name w:val="header"/>
    <w:basedOn w:val="1"/>
    <w:link w:val="22"/>
    <w:uiPriority w:val="0"/>
    <w:pPr>
      <w:tabs>
        <w:tab w:val="center" w:pos="4320"/>
        <w:tab w:val="right" w:pos="8640"/>
      </w:tabs>
    </w:pPr>
    <w:rPr>
      <w:rFonts w:ascii="Arial" w:hAnsi="Arial"/>
      <w:sz w:val="24"/>
    </w:rPr>
  </w:style>
  <w:style w:type="character" w:styleId="11">
    <w:name w:val="Hyperlink"/>
    <w:basedOn w:val="7"/>
    <w:unhideWhenUsed/>
    <w:uiPriority w:val="99"/>
    <w:rPr>
      <w:color w:val="0563C1" w:themeColor="hyperlink"/>
      <w:u w:val="single"/>
      <w14:textFill>
        <w14:solidFill>
          <w14:schemeClr w14:val="hlink"/>
        </w14:solidFill>
      </w14:textFill>
    </w:rPr>
  </w:style>
  <w:style w:type="table" w:styleId="12">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link w:val="2"/>
    <w:uiPriority w:val="9"/>
    <w:rPr>
      <w:b/>
      <w:bCs/>
      <w:sz w:val="24"/>
      <w:szCs w:val="24"/>
    </w:rPr>
  </w:style>
  <w:style w:type="character" w:customStyle="1" w:styleId="14">
    <w:name w:val="Heading 2 Char"/>
    <w:link w:val="3"/>
    <w:uiPriority w:val="0"/>
    <w:rPr>
      <w:b/>
      <w:sz w:val="24"/>
    </w:rPr>
  </w:style>
  <w:style w:type="character" w:customStyle="1" w:styleId="15">
    <w:name w:val="Heading 3 Char"/>
    <w:link w:val="4"/>
    <w:uiPriority w:val="0"/>
    <w:rPr>
      <w:b/>
      <w:color w:val="FF0000"/>
      <w:sz w:val="44"/>
    </w:rPr>
  </w:style>
  <w:style w:type="character" w:customStyle="1" w:styleId="16">
    <w:name w:val="Heading 4 Char"/>
    <w:link w:val="5"/>
    <w:uiPriority w:val="9"/>
    <w:rPr>
      <w:b/>
      <w:bCs/>
      <w:sz w:val="24"/>
      <w:szCs w:val="24"/>
    </w:rPr>
  </w:style>
  <w:style w:type="character" w:customStyle="1" w:styleId="17">
    <w:name w:val="Heading 5 Char"/>
    <w:link w:val="6"/>
    <w:uiPriority w:val="9"/>
    <w:rPr>
      <w:rFonts w:ascii="Calibri" w:hAnsi="Calibri"/>
      <w:b/>
      <w:bCs/>
      <w:i/>
      <w:iCs/>
      <w:sz w:val="26"/>
      <w:szCs w:val="26"/>
      <w:lang w:val="en-AU" w:eastAsia="zh-CN"/>
    </w:rPr>
  </w:style>
  <w:style w:type="paragraph" w:styleId="18">
    <w:name w:val="No Spacing"/>
    <w:qFormat/>
    <w:uiPriority w:val="1"/>
    <w:rPr>
      <w:rFonts w:ascii="Calibri" w:hAnsi="Calibri" w:eastAsia="Calibri" w:cs="Times New Roman"/>
      <w:sz w:val="22"/>
      <w:szCs w:val="22"/>
      <w:lang w:val="lv-LV" w:eastAsia="en-US" w:bidi="ar-SA"/>
    </w:rPr>
  </w:style>
  <w:style w:type="paragraph" w:styleId="19">
    <w:name w:val="List Paragraph"/>
    <w:basedOn w:val="1"/>
    <w:qFormat/>
    <w:uiPriority w:val="34"/>
    <w:pPr>
      <w:spacing w:after="200" w:line="276" w:lineRule="auto"/>
      <w:ind w:left="720"/>
      <w:contextualSpacing/>
    </w:pPr>
    <w:rPr>
      <w:rFonts w:ascii="Calibri" w:hAnsi="Calibri"/>
      <w:sz w:val="22"/>
      <w:szCs w:val="22"/>
    </w:rPr>
  </w:style>
  <w:style w:type="paragraph" w:styleId="20">
    <w:name w:val="Quote"/>
    <w:basedOn w:val="1"/>
    <w:next w:val="1"/>
    <w:link w:val="21"/>
    <w:qFormat/>
    <w:uiPriority w:val="29"/>
    <w:rPr>
      <w:i/>
      <w:sz w:val="28"/>
      <w:szCs w:val="28"/>
    </w:rPr>
  </w:style>
  <w:style w:type="character" w:customStyle="1" w:styleId="21">
    <w:name w:val="Quote Char"/>
    <w:link w:val="20"/>
    <w:uiPriority w:val="29"/>
    <w:rPr>
      <w:i/>
      <w:sz w:val="28"/>
      <w:szCs w:val="28"/>
    </w:rPr>
  </w:style>
  <w:style w:type="character" w:customStyle="1" w:styleId="22">
    <w:name w:val="Header Char"/>
    <w:link w:val="10"/>
    <w:uiPriority w:val="0"/>
    <w:rPr>
      <w:rFonts w:ascii="Arial" w:hAnsi="Arial" w:eastAsia="Times New Roman"/>
      <w:sz w:val="24"/>
      <w:lang w:eastAsia="en-US"/>
    </w:rPr>
  </w:style>
  <w:style w:type="character" w:customStyle="1" w:styleId="23">
    <w:name w:val="Footer Char"/>
    <w:link w:val="9"/>
    <w:uiPriority w:val="99"/>
    <w:rPr>
      <w:rFonts w:eastAsia="Times New Roman"/>
      <w:lang w:eastAsia="en-US"/>
    </w:rPr>
  </w:style>
  <w:style w:type="paragraph" w:customStyle="1" w:styleId="24">
    <w:name w:val="Body B"/>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lv-LV" w:eastAsia="lv-LV" w:bidi="ar-SA"/>
    </w:rPr>
  </w:style>
  <w:style w:type="character" w:customStyle="1" w:styleId="25">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Template>
  <Pages>2</Pages>
  <Words>523</Words>
  <Characters>2986</Characters>
  <Lines>24</Lines>
  <Paragraphs>7</Paragraphs>
  <TotalTime>17</TotalTime>
  <ScaleCrop>false</ScaleCrop>
  <LinksUpToDate>false</LinksUpToDate>
  <CharactersWithSpaces>3502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2020-02-27T07:31:00Z</dcterms:created>
  <dc:creator>Rita Pavlovica</dc:creator>
  <cp:lastModifiedBy>Edite.Tettere</cp:lastModifiedBy>
  <cp:lastPrinted>2016-02-15T06:53:00Z</cp:lastPrinted>
  <dcterms:modified xsi:type="dcterms:W3CDTF">2026-03-18T13:00:38Z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3A3F1C039FB449819222EE330E81A568_13</vt:lpwstr>
  </property>
</Properties>
</file>