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0D11" w14:textId="634A9AB9" w:rsidR="003B1FCF" w:rsidRPr="007B3DB5" w:rsidRDefault="00F92C52" w:rsidP="00F92C52">
      <w:pPr>
        <w:rPr>
          <w:sz w:val="36"/>
          <w:szCs w:val="36"/>
          <w:bdr w:val="nil"/>
          <w:lang w:val="lv-LV" w:eastAsia="lv-LV"/>
        </w:rPr>
      </w:pPr>
      <w:bookmarkStart w:id="0" w:name="_Toc210136818"/>
      <w:bookmarkStart w:id="1" w:name="_Toc210138140"/>
      <w:proofErr w:type="spellStart"/>
      <w:r w:rsidRPr="007B3DB5">
        <w:rPr>
          <w:sz w:val="36"/>
          <w:szCs w:val="36"/>
          <w:bdr w:val="nil"/>
          <w:lang w:eastAsia="lv-LV"/>
        </w:rPr>
        <w:t>A</w:t>
      </w:r>
      <w:r w:rsidR="003B1FCF" w:rsidRPr="007B3DB5">
        <w:rPr>
          <w:sz w:val="36"/>
          <w:szCs w:val="36"/>
          <w:bdr w:val="nil"/>
          <w:lang w:eastAsia="lv-LV"/>
        </w:rPr>
        <w:t>soc</w:t>
      </w:r>
      <w:proofErr w:type="spellEnd"/>
      <w:r w:rsidR="003B1FCF" w:rsidRPr="007B3DB5">
        <w:rPr>
          <w:sz w:val="36"/>
          <w:szCs w:val="36"/>
          <w:bdr w:val="nil"/>
          <w:lang w:eastAsia="lv-LV"/>
        </w:rPr>
        <w:t xml:space="preserve">. prof., Dr.  med. Ilva </w:t>
      </w:r>
      <w:proofErr w:type="spellStart"/>
      <w:r w:rsidR="003B1FCF" w:rsidRPr="007B3DB5">
        <w:rPr>
          <w:sz w:val="36"/>
          <w:szCs w:val="36"/>
          <w:bdr w:val="nil"/>
          <w:lang w:eastAsia="lv-LV"/>
        </w:rPr>
        <w:t>Daugule</w:t>
      </w:r>
      <w:bookmarkEnd w:id="0"/>
      <w:bookmarkEnd w:id="1"/>
      <w:proofErr w:type="spellEnd"/>
      <w:r w:rsidR="003B1FCF" w:rsidRPr="007B3DB5">
        <w:rPr>
          <w:sz w:val="36"/>
          <w:szCs w:val="36"/>
          <w:bdr w:val="nil"/>
          <w:lang w:eastAsia="lv-LV"/>
        </w:rPr>
        <w:t xml:space="preserve"> </w:t>
      </w:r>
    </w:p>
    <w:p w14:paraId="5F6B2918" w14:textId="1418B975" w:rsidR="003B1FCF" w:rsidRDefault="003B1FCF" w:rsidP="00F92C52">
      <w:pPr>
        <w:rPr>
          <w:sz w:val="36"/>
          <w:szCs w:val="36"/>
          <w:bdr w:val="nil"/>
          <w:lang w:eastAsia="lv-LV"/>
        </w:rPr>
      </w:pPr>
      <w:bookmarkStart w:id="2" w:name="_Toc210136820"/>
      <w:bookmarkStart w:id="3" w:name="_Toc210138142"/>
      <w:r w:rsidRPr="007B3DB5">
        <w:rPr>
          <w:sz w:val="36"/>
          <w:szCs w:val="36"/>
          <w:bdr w:val="nil"/>
          <w:lang w:eastAsia="lv-LV"/>
        </w:rPr>
        <w:t xml:space="preserve">Dr. </w:t>
      </w:r>
      <w:proofErr w:type="spellStart"/>
      <w:r w:rsidRPr="007B3DB5">
        <w:rPr>
          <w:sz w:val="36"/>
          <w:szCs w:val="36"/>
          <w:bdr w:val="nil"/>
          <w:lang w:eastAsia="lv-LV"/>
        </w:rPr>
        <w:t>Ērika</w:t>
      </w:r>
      <w:proofErr w:type="spellEnd"/>
      <w:r w:rsidRPr="007B3DB5">
        <w:rPr>
          <w:sz w:val="36"/>
          <w:szCs w:val="36"/>
          <w:bdr w:val="nil"/>
          <w:lang w:eastAsia="lv-LV"/>
        </w:rPr>
        <w:t xml:space="preserve"> </w:t>
      </w:r>
      <w:proofErr w:type="spellStart"/>
      <w:r w:rsidRPr="007B3DB5">
        <w:rPr>
          <w:sz w:val="36"/>
          <w:szCs w:val="36"/>
          <w:bdr w:val="nil"/>
          <w:lang w:eastAsia="lv-LV"/>
        </w:rPr>
        <w:t>Bļinkova</w:t>
      </w:r>
      <w:bookmarkEnd w:id="2"/>
      <w:bookmarkEnd w:id="3"/>
      <w:proofErr w:type="spellEnd"/>
    </w:p>
    <w:p w14:paraId="46A4AD17" w14:textId="77777777" w:rsidR="003A2176" w:rsidRPr="007B3DB5" w:rsidRDefault="003A2176" w:rsidP="003A2176">
      <w:pPr>
        <w:rPr>
          <w:sz w:val="36"/>
          <w:szCs w:val="36"/>
          <w:bdr w:val="nil"/>
          <w:lang w:eastAsia="lv-LV"/>
        </w:rPr>
      </w:pPr>
      <w:bookmarkStart w:id="4" w:name="_Toc210136819"/>
      <w:bookmarkStart w:id="5" w:name="_Toc210138141"/>
      <w:r w:rsidRPr="007B3DB5">
        <w:rPr>
          <w:sz w:val="36"/>
          <w:szCs w:val="36"/>
          <w:bdr w:val="nil"/>
          <w:lang w:eastAsia="lv-LV"/>
        </w:rPr>
        <w:t xml:space="preserve">Prof., Dr. </w:t>
      </w:r>
      <w:proofErr w:type="spellStart"/>
      <w:r w:rsidRPr="007B3DB5">
        <w:rPr>
          <w:sz w:val="36"/>
          <w:szCs w:val="36"/>
          <w:bdr w:val="nil"/>
          <w:lang w:eastAsia="lv-LV"/>
        </w:rPr>
        <w:t>habil</w:t>
      </w:r>
      <w:proofErr w:type="spellEnd"/>
      <w:r w:rsidRPr="007B3DB5">
        <w:rPr>
          <w:sz w:val="36"/>
          <w:szCs w:val="36"/>
          <w:bdr w:val="nil"/>
          <w:lang w:eastAsia="lv-LV"/>
        </w:rPr>
        <w:t>. med. Ingrīda Rumba-</w:t>
      </w:r>
      <w:proofErr w:type="spellStart"/>
      <w:r w:rsidRPr="007B3DB5">
        <w:rPr>
          <w:sz w:val="36"/>
          <w:szCs w:val="36"/>
          <w:bdr w:val="nil"/>
          <w:lang w:eastAsia="lv-LV"/>
        </w:rPr>
        <w:t>Rozenfelde</w:t>
      </w:r>
      <w:bookmarkEnd w:id="4"/>
      <w:bookmarkEnd w:id="5"/>
      <w:proofErr w:type="spellEnd"/>
      <w:r w:rsidRPr="007B3DB5">
        <w:rPr>
          <w:sz w:val="36"/>
          <w:szCs w:val="36"/>
          <w:bdr w:val="nil"/>
          <w:lang w:eastAsia="lv-LV"/>
        </w:rPr>
        <w:t xml:space="preserve"> </w:t>
      </w:r>
    </w:p>
    <w:p w14:paraId="77DC523A" w14:textId="779C4157" w:rsidR="00D05DD0" w:rsidRDefault="00D05DD0" w:rsidP="00F92C52">
      <w:pPr>
        <w:rPr>
          <w:sz w:val="36"/>
          <w:szCs w:val="36"/>
          <w:bdr w:val="nil"/>
          <w:lang w:eastAsia="lv-LV"/>
        </w:rPr>
      </w:pPr>
      <w:bookmarkStart w:id="6" w:name="_Toc210136821"/>
      <w:bookmarkStart w:id="7" w:name="_Toc210138143"/>
      <w:proofErr w:type="spellStart"/>
      <w:r>
        <w:rPr>
          <w:sz w:val="36"/>
          <w:szCs w:val="36"/>
          <w:bdr w:val="nil"/>
          <w:lang w:eastAsia="lv-LV"/>
        </w:rPr>
        <w:t>Latvijas</w:t>
      </w:r>
      <w:proofErr w:type="spellEnd"/>
      <w:r>
        <w:rPr>
          <w:sz w:val="36"/>
          <w:szCs w:val="36"/>
          <w:bdr w:val="nil"/>
          <w:lang w:eastAsia="lv-LV"/>
        </w:rPr>
        <w:t xml:space="preserve"> </w:t>
      </w:r>
      <w:proofErr w:type="spellStart"/>
      <w:r>
        <w:rPr>
          <w:sz w:val="36"/>
          <w:szCs w:val="36"/>
          <w:bdr w:val="nil"/>
          <w:lang w:eastAsia="lv-LV"/>
        </w:rPr>
        <w:t>Universitāte</w:t>
      </w:r>
      <w:proofErr w:type="spellEnd"/>
      <w:r>
        <w:rPr>
          <w:sz w:val="36"/>
          <w:szCs w:val="36"/>
          <w:bdr w:val="nil"/>
          <w:lang w:eastAsia="lv-LV"/>
        </w:rPr>
        <w:t xml:space="preserve"> </w:t>
      </w:r>
    </w:p>
    <w:p w14:paraId="0315B8ED" w14:textId="77777777" w:rsidR="00D05DD0" w:rsidRDefault="00D05DD0" w:rsidP="00F92C52">
      <w:pPr>
        <w:rPr>
          <w:sz w:val="36"/>
          <w:szCs w:val="36"/>
          <w:bdr w:val="nil"/>
          <w:lang w:eastAsia="lv-LV"/>
        </w:rPr>
      </w:pPr>
      <w:proofErr w:type="spellStart"/>
      <w:r>
        <w:rPr>
          <w:sz w:val="36"/>
          <w:szCs w:val="36"/>
          <w:bdr w:val="nil"/>
          <w:lang w:eastAsia="lv-LV"/>
        </w:rPr>
        <w:t>Medicīnas</w:t>
      </w:r>
      <w:proofErr w:type="spellEnd"/>
      <w:r>
        <w:rPr>
          <w:sz w:val="36"/>
          <w:szCs w:val="36"/>
          <w:bdr w:val="nil"/>
          <w:lang w:eastAsia="lv-LV"/>
        </w:rPr>
        <w:t xml:space="preserve"> un </w:t>
      </w:r>
      <w:proofErr w:type="spellStart"/>
      <w:r>
        <w:rPr>
          <w:sz w:val="36"/>
          <w:szCs w:val="36"/>
          <w:bdr w:val="nil"/>
          <w:lang w:eastAsia="lv-LV"/>
        </w:rPr>
        <w:t>Dzīvības</w:t>
      </w:r>
      <w:proofErr w:type="spellEnd"/>
      <w:r>
        <w:rPr>
          <w:sz w:val="36"/>
          <w:szCs w:val="36"/>
          <w:bdr w:val="nil"/>
          <w:lang w:eastAsia="lv-LV"/>
        </w:rPr>
        <w:t xml:space="preserve"> </w:t>
      </w:r>
      <w:proofErr w:type="spellStart"/>
      <w:r>
        <w:rPr>
          <w:sz w:val="36"/>
          <w:szCs w:val="36"/>
          <w:bdr w:val="nil"/>
          <w:lang w:eastAsia="lv-LV"/>
        </w:rPr>
        <w:t>zinātņu</w:t>
      </w:r>
      <w:proofErr w:type="spellEnd"/>
      <w:r>
        <w:rPr>
          <w:sz w:val="36"/>
          <w:szCs w:val="36"/>
          <w:bdr w:val="nil"/>
          <w:lang w:eastAsia="lv-LV"/>
        </w:rPr>
        <w:t xml:space="preserve"> </w:t>
      </w:r>
      <w:proofErr w:type="spellStart"/>
      <w:r>
        <w:rPr>
          <w:sz w:val="36"/>
          <w:szCs w:val="36"/>
          <w:bdr w:val="nil"/>
          <w:lang w:eastAsia="lv-LV"/>
        </w:rPr>
        <w:t>fakultāte</w:t>
      </w:r>
      <w:proofErr w:type="spellEnd"/>
    </w:p>
    <w:p w14:paraId="4E51C5C4" w14:textId="58D17C59" w:rsidR="003B1FCF" w:rsidRPr="007B3DB5" w:rsidRDefault="003B1FCF" w:rsidP="00F92C52">
      <w:pPr>
        <w:rPr>
          <w:sz w:val="36"/>
          <w:szCs w:val="36"/>
          <w:bdr w:val="nil"/>
          <w:lang w:eastAsia="lv-LV"/>
        </w:rPr>
      </w:pPr>
      <w:proofErr w:type="spellStart"/>
      <w:r w:rsidRPr="007B3DB5">
        <w:rPr>
          <w:sz w:val="36"/>
          <w:szCs w:val="36"/>
          <w:bdr w:val="nil"/>
          <w:lang w:eastAsia="lv-LV"/>
        </w:rPr>
        <w:t>Ģimenes</w:t>
      </w:r>
      <w:proofErr w:type="spellEnd"/>
      <w:r w:rsidRPr="007B3DB5">
        <w:rPr>
          <w:sz w:val="36"/>
          <w:szCs w:val="36"/>
          <w:bdr w:val="nil"/>
          <w:lang w:eastAsia="lv-LV"/>
        </w:rPr>
        <w:t xml:space="preserve">, </w:t>
      </w:r>
      <w:proofErr w:type="spellStart"/>
      <w:r w:rsidRPr="007B3DB5">
        <w:rPr>
          <w:sz w:val="36"/>
          <w:szCs w:val="36"/>
          <w:bdr w:val="nil"/>
          <w:lang w:eastAsia="lv-LV"/>
        </w:rPr>
        <w:t>mātes</w:t>
      </w:r>
      <w:proofErr w:type="spellEnd"/>
      <w:r w:rsidRPr="007B3DB5">
        <w:rPr>
          <w:sz w:val="36"/>
          <w:szCs w:val="36"/>
          <w:bdr w:val="nil"/>
          <w:lang w:eastAsia="lv-LV"/>
        </w:rPr>
        <w:t xml:space="preserve"> un </w:t>
      </w:r>
      <w:proofErr w:type="spellStart"/>
      <w:r w:rsidRPr="007B3DB5">
        <w:rPr>
          <w:sz w:val="36"/>
          <w:szCs w:val="36"/>
          <w:bdr w:val="nil"/>
          <w:lang w:eastAsia="lv-LV"/>
        </w:rPr>
        <w:t>bērna</w:t>
      </w:r>
      <w:proofErr w:type="spellEnd"/>
      <w:r w:rsidRPr="007B3DB5">
        <w:rPr>
          <w:sz w:val="36"/>
          <w:szCs w:val="36"/>
          <w:bdr w:val="nil"/>
          <w:lang w:eastAsia="lv-LV"/>
        </w:rPr>
        <w:t xml:space="preserve"> </w:t>
      </w:r>
      <w:proofErr w:type="spellStart"/>
      <w:r w:rsidRPr="007B3DB5">
        <w:rPr>
          <w:sz w:val="36"/>
          <w:szCs w:val="36"/>
          <w:bdr w:val="nil"/>
          <w:lang w:eastAsia="lv-LV"/>
        </w:rPr>
        <w:t>veselības</w:t>
      </w:r>
      <w:proofErr w:type="spellEnd"/>
      <w:r w:rsidRPr="007B3DB5">
        <w:rPr>
          <w:sz w:val="36"/>
          <w:szCs w:val="36"/>
          <w:bdr w:val="nil"/>
          <w:lang w:eastAsia="lv-LV"/>
        </w:rPr>
        <w:t xml:space="preserve"> </w:t>
      </w:r>
      <w:proofErr w:type="spellStart"/>
      <w:r w:rsidRPr="007B3DB5">
        <w:rPr>
          <w:sz w:val="36"/>
          <w:szCs w:val="36"/>
          <w:bdr w:val="nil"/>
          <w:lang w:eastAsia="lv-LV"/>
        </w:rPr>
        <w:t>nodaļa</w:t>
      </w:r>
      <w:bookmarkEnd w:id="6"/>
      <w:bookmarkEnd w:id="7"/>
      <w:proofErr w:type="spellEnd"/>
    </w:p>
    <w:p w14:paraId="79B9BD6C" w14:textId="77777777" w:rsidR="007B3AC2" w:rsidRDefault="007B3AC2" w:rsidP="007B3AC2">
      <w:pPr>
        <w:rPr>
          <w:lang w:val="lv-LV"/>
        </w:rPr>
      </w:pPr>
    </w:p>
    <w:p w14:paraId="3A214313" w14:textId="77777777" w:rsidR="003B1FCF" w:rsidRDefault="003B1FCF" w:rsidP="007B3AC2">
      <w:pPr>
        <w:rPr>
          <w:lang w:val="lv-LV"/>
        </w:rPr>
      </w:pPr>
    </w:p>
    <w:p w14:paraId="397900F9" w14:textId="21A57229" w:rsidR="003B1FCF" w:rsidRPr="003B1FCF" w:rsidRDefault="003B1FCF" w:rsidP="00B94E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16" w:lineRule="auto"/>
        <w:rPr>
          <w:rFonts w:ascii="Graphik" w:eastAsia="Arial Unicode MS" w:hAnsi="Graphik" w:cs="Arial Unicode MS" w:hint="eastAsia"/>
          <w:b/>
          <w:bCs/>
          <w:caps/>
          <w:color w:val="276091"/>
          <w:spacing w:val="-11"/>
          <w:kern w:val="0"/>
          <w:sz w:val="40"/>
          <w:szCs w:val="40"/>
          <w:bdr w:val="nil"/>
          <w:lang w:val="lv-LV" w:eastAsia="lv-LV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3B1FCF">
        <w:rPr>
          <w:rFonts w:ascii="Graphik" w:eastAsia="Arial Unicode MS" w:hAnsi="Graphik" w:cs="Arial Unicode MS"/>
          <w:b/>
          <w:bCs/>
          <w:caps/>
          <w:color w:val="599DFF"/>
          <w:spacing w:val="-63"/>
          <w:kern w:val="0"/>
          <w:sz w:val="66"/>
          <w:szCs w:val="48"/>
          <w:bdr w:val="nil"/>
          <w:lang w:val="lv-LV" w:eastAsia="lv-LV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Rekomendācijas </w:t>
      </w:r>
      <w:r>
        <w:rPr>
          <w:rFonts w:ascii="Graphik" w:eastAsia="Arial Unicode MS" w:hAnsi="Graphik" w:cs="Arial Unicode MS"/>
          <w:b/>
          <w:bCs/>
          <w:caps/>
          <w:color w:val="599DFF"/>
          <w:spacing w:val="-63"/>
          <w:kern w:val="0"/>
          <w:sz w:val="66"/>
          <w:szCs w:val="48"/>
          <w:bdr w:val="nil"/>
          <w:lang w:val="lv-LV" w:eastAsia="lv-LV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3B1FCF">
        <w:rPr>
          <w:rFonts w:ascii="Graphik" w:eastAsia="Arial Unicode MS" w:hAnsi="Graphik" w:cs="Arial Unicode MS"/>
          <w:b/>
          <w:bCs/>
          <w:caps/>
          <w:color w:val="599DFF"/>
          <w:spacing w:val="-63"/>
          <w:kern w:val="0"/>
          <w:sz w:val="66"/>
          <w:szCs w:val="48"/>
          <w:bdr w:val="nil"/>
          <w:lang w:val="lv-LV" w:eastAsia="lv-LV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antibiotiku </w:t>
      </w:r>
      <w:r w:rsidR="00B94EA3">
        <w:rPr>
          <w:rFonts w:ascii="Graphik" w:eastAsia="Arial Unicode MS" w:hAnsi="Graphik" w:cs="Arial Unicode MS"/>
          <w:b/>
          <w:bCs/>
          <w:caps/>
          <w:color w:val="599DFF"/>
          <w:spacing w:val="-63"/>
          <w:kern w:val="0"/>
          <w:sz w:val="66"/>
          <w:szCs w:val="48"/>
          <w:bdr w:val="nil"/>
          <w:lang w:val="lv-LV" w:eastAsia="lv-LV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izraisītas</w:t>
      </w:r>
      <w:r w:rsidRPr="003B1FCF">
        <w:rPr>
          <w:rFonts w:ascii="Graphik" w:eastAsia="Arial Unicode MS" w:hAnsi="Graphik" w:cs="Arial Unicode MS"/>
          <w:b/>
          <w:bCs/>
          <w:caps/>
          <w:color w:val="599DFF"/>
          <w:spacing w:val="-63"/>
          <w:kern w:val="0"/>
          <w:sz w:val="66"/>
          <w:szCs w:val="48"/>
          <w:bdr w:val="nil"/>
          <w:lang w:val="lv-LV" w:eastAsia="lv-LV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>
        <w:rPr>
          <w:rFonts w:ascii="Graphik" w:eastAsia="Arial Unicode MS" w:hAnsi="Graphik" w:cs="Arial Unicode MS"/>
          <w:b/>
          <w:bCs/>
          <w:caps/>
          <w:color w:val="599DFF"/>
          <w:spacing w:val="-63"/>
          <w:kern w:val="0"/>
          <w:sz w:val="66"/>
          <w:szCs w:val="48"/>
          <w:bdr w:val="nil"/>
          <w:lang w:val="lv-LV" w:eastAsia="lv-LV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B94EA3">
        <w:rPr>
          <w:rFonts w:ascii="Graphik" w:eastAsia="Arial Unicode MS" w:hAnsi="Graphik" w:cs="Arial Unicode MS"/>
          <w:b/>
          <w:bCs/>
          <w:caps/>
          <w:color w:val="599DFF"/>
          <w:spacing w:val="-63"/>
          <w:kern w:val="0"/>
          <w:sz w:val="66"/>
          <w:szCs w:val="48"/>
          <w:bdr w:val="nil"/>
          <w:lang w:val="lv-LV" w:eastAsia="lv-LV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caurej</w:t>
      </w:r>
      <w:r w:rsidRPr="003B1FCF">
        <w:rPr>
          <w:rFonts w:ascii="Graphik" w:eastAsia="Arial Unicode MS" w:hAnsi="Graphik" w:cs="Arial Unicode MS"/>
          <w:b/>
          <w:bCs/>
          <w:caps/>
          <w:color w:val="599DFF"/>
          <w:spacing w:val="-63"/>
          <w:kern w:val="0"/>
          <w:sz w:val="66"/>
          <w:szCs w:val="48"/>
          <w:bdr w:val="nil"/>
          <w:lang w:val="lv-LV" w:eastAsia="lv-LV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as </w:t>
      </w:r>
      <w:r w:rsidR="00E05BB1">
        <w:rPr>
          <w:rFonts w:ascii="Graphik" w:eastAsia="Arial Unicode MS" w:hAnsi="Graphik" w:cs="Arial Unicode MS"/>
          <w:b/>
          <w:bCs/>
          <w:caps/>
          <w:color w:val="599DFF"/>
          <w:spacing w:val="-63"/>
          <w:kern w:val="0"/>
          <w:sz w:val="66"/>
          <w:szCs w:val="48"/>
          <w:bdr w:val="nil"/>
          <w:lang w:val="lv-LV" w:eastAsia="lv-LV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3B1FCF">
        <w:rPr>
          <w:rFonts w:ascii="Graphik" w:eastAsia="Arial Unicode MS" w:hAnsi="Graphik" w:cs="Arial Unicode MS"/>
          <w:b/>
          <w:bCs/>
          <w:caps/>
          <w:color w:val="599DFF"/>
          <w:spacing w:val="-63"/>
          <w:kern w:val="0"/>
          <w:sz w:val="66"/>
          <w:szCs w:val="48"/>
          <w:bdr w:val="nil"/>
          <w:lang w:val="lv-LV" w:eastAsia="lv-LV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profilaksei </w:t>
      </w:r>
      <w:r>
        <w:rPr>
          <w:rFonts w:ascii="Graphik" w:eastAsia="Arial Unicode MS" w:hAnsi="Graphik" w:cs="Arial Unicode MS"/>
          <w:b/>
          <w:bCs/>
          <w:caps/>
          <w:color w:val="599DFF"/>
          <w:spacing w:val="-63"/>
          <w:kern w:val="0"/>
          <w:sz w:val="66"/>
          <w:szCs w:val="48"/>
          <w:bdr w:val="nil"/>
          <w:lang w:val="lv-LV" w:eastAsia="lv-LV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3D1527">
        <w:rPr>
          <w:rFonts w:ascii="Graphik" w:eastAsia="Arial Unicode MS" w:hAnsi="Graphik" w:cs="Arial Unicode MS"/>
          <w:b/>
          <w:bCs/>
          <w:caps/>
          <w:color w:val="599DFF"/>
          <w:spacing w:val="-63"/>
          <w:kern w:val="0"/>
          <w:sz w:val="66"/>
          <w:szCs w:val="48"/>
          <w:bdr w:val="nil"/>
          <w:lang w:val="lv-LV" w:eastAsia="lv-LV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bērniem primārajā aprūpē</w:t>
      </w:r>
    </w:p>
    <w:p w14:paraId="71FAA56B" w14:textId="77777777" w:rsidR="003B1FCF" w:rsidRDefault="003B1FCF" w:rsidP="007B3AC2">
      <w:pPr>
        <w:rPr>
          <w:lang w:val="lv-LV"/>
        </w:rPr>
      </w:pPr>
    </w:p>
    <w:p w14:paraId="014F2428" w14:textId="77777777" w:rsidR="007B3AC2" w:rsidRDefault="007B3AC2" w:rsidP="007B3AC2">
      <w:pPr>
        <w:rPr>
          <w:lang w:val="lv-LV"/>
        </w:rPr>
      </w:pPr>
    </w:p>
    <w:p w14:paraId="31D1E864" w14:textId="77777777" w:rsidR="007B3AC2" w:rsidRDefault="007B3AC2" w:rsidP="007B3AC2">
      <w:pPr>
        <w:rPr>
          <w:lang w:val="lv-LV"/>
        </w:rPr>
      </w:pPr>
    </w:p>
    <w:p w14:paraId="4313F46A" w14:textId="77777777" w:rsidR="007B3AC2" w:rsidRDefault="007B3AC2" w:rsidP="007B3AC2">
      <w:pPr>
        <w:rPr>
          <w:lang w:val="lv-LV"/>
        </w:rPr>
      </w:pPr>
    </w:p>
    <w:p w14:paraId="2B8E7901" w14:textId="77777777" w:rsidR="007B3AC2" w:rsidRDefault="007B3AC2" w:rsidP="007B3AC2">
      <w:pPr>
        <w:rPr>
          <w:lang w:val="lv-LV"/>
        </w:rPr>
      </w:pPr>
    </w:p>
    <w:p w14:paraId="034DBC9B" w14:textId="77777777" w:rsidR="007B3AC2" w:rsidRDefault="007B3AC2" w:rsidP="007B3AC2">
      <w:pPr>
        <w:rPr>
          <w:lang w:val="lv-LV"/>
        </w:rPr>
      </w:pPr>
    </w:p>
    <w:p w14:paraId="0AE774F5" w14:textId="77777777" w:rsidR="007B3AC2" w:rsidRDefault="007B3AC2" w:rsidP="007B3AC2">
      <w:pPr>
        <w:rPr>
          <w:lang w:val="lv-LV"/>
        </w:rPr>
      </w:pPr>
    </w:p>
    <w:p w14:paraId="7EB41E32" w14:textId="77777777" w:rsidR="007B3AC2" w:rsidRDefault="007B3AC2" w:rsidP="007B3AC2">
      <w:pPr>
        <w:rPr>
          <w:lang w:val="lv-LV"/>
        </w:rPr>
      </w:pPr>
    </w:p>
    <w:p w14:paraId="207A7F40" w14:textId="77777777" w:rsidR="003B1FCF" w:rsidRDefault="003B1FCF" w:rsidP="007B3AC2">
      <w:pPr>
        <w:rPr>
          <w:lang w:val="lv-LV"/>
        </w:rPr>
      </w:pPr>
    </w:p>
    <w:p w14:paraId="55A6C6E4" w14:textId="77777777" w:rsidR="007B3AC2" w:rsidRDefault="007B3AC2" w:rsidP="007B3AC2">
      <w:pPr>
        <w:rPr>
          <w:lang w:val="lv-LV"/>
        </w:rPr>
      </w:pPr>
    </w:p>
    <w:p w14:paraId="0F098646" w14:textId="77777777" w:rsidR="007B3AC2" w:rsidRDefault="007B3AC2" w:rsidP="007B3AC2">
      <w:pPr>
        <w:rPr>
          <w:lang w:val="lv-LV"/>
        </w:rPr>
      </w:pPr>
    </w:p>
    <w:p w14:paraId="2CA7C662" w14:textId="6BB2EB8B" w:rsidR="006C5989" w:rsidRPr="006C5989" w:rsidRDefault="003B1FCF" w:rsidP="006C5989">
      <w:pPr>
        <w:jc w:val="center"/>
        <w:rPr>
          <w:rFonts w:ascii="Times New Roman" w:hAnsi="Times New Roman" w:cs="Times New Roman"/>
          <w:sz w:val="32"/>
          <w:szCs w:val="32"/>
          <w:lang w:val="lv-LV"/>
        </w:rPr>
      </w:pPr>
      <w:r w:rsidRPr="003B1FCF">
        <w:rPr>
          <w:rFonts w:ascii="Times New Roman" w:hAnsi="Times New Roman" w:cs="Times New Roman"/>
          <w:sz w:val="32"/>
          <w:szCs w:val="32"/>
          <w:lang w:val="lv-LV"/>
        </w:rPr>
        <w:t>Rīga, 202</w:t>
      </w:r>
      <w:bookmarkStart w:id="8" w:name="_Toc206573731"/>
      <w:r w:rsidR="006C5989">
        <w:rPr>
          <w:rFonts w:ascii="Times New Roman" w:hAnsi="Times New Roman" w:cs="Times New Roman"/>
          <w:sz w:val="32"/>
          <w:szCs w:val="32"/>
          <w:lang w:val="lv-LV"/>
        </w:rPr>
        <w:t>5</w:t>
      </w:r>
    </w:p>
    <w:p w14:paraId="47859036" w14:textId="77777777" w:rsidR="007B3AC2" w:rsidRDefault="007B3AC2" w:rsidP="00A53AC6">
      <w:pPr>
        <w:pStyle w:val="Virsraksts1"/>
        <w:rPr>
          <w:lang w:val="lv-LV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31249002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F575880" w14:textId="77777777" w:rsidR="00DA7BDD" w:rsidRDefault="004F5261" w:rsidP="004F5261">
          <w:pPr>
            <w:pStyle w:val="Saturardtjavirsraksts"/>
            <w:rPr>
              <w:noProof/>
            </w:rPr>
          </w:pPr>
          <w:proofErr w:type="spellStart"/>
          <w:r w:rsidRPr="004F5261">
            <w:rPr>
              <w:color w:val="000000" w:themeColor="text1"/>
            </w:rPr>
            <w:t>Saturs</w:t>
          </w:r>
          <w:proofErr w:type="spellEnd"/>
          <w:r>
            <w:rPr>
              <w:color w:val="000000" w:themeColor="text1"/>
            </w:rPr>
            <w:fldChar w:fldCharType="begin"/>
          </w:r>
          <w:r w:rsidRPr="004F5261">
            <w:rPr>
              <w:color w:val="000000" w:themeColor="text1"/>
            </w:rPr>
            <w:instrText xml:space="preserve"> TOC \o "1-3" \h \z \u </w:instrText>
          </w:r>
          <w:r>
            <w:rPr>
              <w:color w:val="000000" w:themeColor="text1"/>
            </w:rPr>
            <w:fldChar w:fldCharType="separate"/>
          </w:r>
        </w:p>
        <w:p w14:paraId="64EAFAB8" w14:textId="03748CC8" w:rsidR="00DA7BDD" w:rsidRDefault="00DA7BDD">
          <w:pPr>
            <w:pStyle w:val="Saturs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lv-LV" w:eastAsia="lv-LV"/>
            </w:rPr>
          </w:pPr>
          <w:hyperlink w:anchor="_Toc214625078" w:history="1">
            <w:r w:rsidRPr="009867C8">
              <w:rPr>
                <w:rStyle w:val="Hipersaite"/>
                <w:rFonts w:ascii="Times New Roman" w:hAnsi="Times New Roman" w:cs="Times New Roman"/>
                <w:noProof/>
              </w:rPr>
              <w:t>Ievads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_Toc214625078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144FB" w14:textId="027D0E9C" w:rsidR="00DA7BDD" w:rsidRDefault="00DA7BDD">
          <w:pPr>
            <w:pStyle w:val="Saturs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lv-LV" w:eastAsia="lv-LV"/>
            </w:rPr>
          </w:pPr>
          <w:hyperlink w:anchor="_Toc214625079" w:history="1">
            <w:r w:rsidRPr="009867C8">
              <w:rPr>
                <w:rStyle w:val="Hipersaite"/>
                <w:rFonts w:ascii="Times New Roman" w:hAnsi="Times New Roman" w:cs="Times New Roman"/>
                <w:noProof/>
                <w:lang w:val="lv-LV"/>
              </w:rPr>
              <w:t>Zarnu mikrobiotas izmaiņas pēc antibakteriālas terapijas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_Toc214625079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00662" w14:textId="0A1C3775" w:rsidR="00DA7BDD" w:rsidRDefault="00DA7BDD">
          <w:pPr>
            <w:pStyle w:val="Saturs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lv-LV" w:eastAsia="lv-LV"/>
            </w:rPr>
          </w:pPr>
          <w:hyperlink w:anchor="_Toc214625080" w:history="1">
            <w:r w:rsidRPr="009867C8">
              <w:rPr>
                <w:rStyle w:val="Hipersaite"/>
                <w:rFonts w:ascii="Times New Roman" w:hAnsi="Times New Roman" w:cs="Times New Roman"/>
                <w:noProof/>
                <w:lang w:val="lv-LV"/>
              </w:rPr>
              <w:t>Antibiotiku izraisīta caureja: definīcija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_Toc214625080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1B617" w14:textId="42AEAA74" w:rsidR="00DA7BDD" w:rsidRDefault="00DA7BDD">
          <w:pPr>
            <w:pStyle w:val="Saturs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lv-LV" w:eastAsia="lv-LV"/>
            </w:rPr>
          </w:pPr>
          <w:hyperlink w:anchor="_Toc214625081" w:history="1">
            <w:r w:rsidRPr="009867C8">
              <w:rPr>
                <w:rStyle w:val="Hipersaite"/>
                <w:rFonts w:ascii="Times New Roman" w:hAnsi="Times New Roman" w:cs="Times New Roman"/>
                <w:noProof/>
                <w:lang w:val="lv-LV"/>
              </w:rPr>
              <w:t>Antibiotiku izraisītas caurejas patoģenēze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_Toc214625081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37E0C" w14:textId="18F6BC71" w:rsidR="00DA7BDD" w:rsidRDefault="00DA7BDD">
          <w:pPr>
            <w:pStyle w:val="Saturs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lv-LV" w:eastAsia="lv-LV"/>
            </w:rPr>
          </w:pPr>
          <w:hyperlink w:anchor="_Toc214625082" w:history="1">
            <w:r w:rsidRPr="009867C8">
              <w:rPr>
                <w:rStyle w:val="Hipersaite"/>
                <w:rFonts w:ascii="Times New Roman" w:hAnsi="Times New Roman" w:cs="Times New Roman"/>
                <w:noProof/>
                <w:lang w:val="lv-LV"/>
              </w:rPr>
              <w:t>Antibiotiku izraisītas caurejas klīniskās izpausmes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_Toc214625082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78F90" w14:textId="62B2B47D" w:rsidR="00DA7BDD" w:rsidRDefault="00DA7BDD">
          <w:pPr>
            <w:pStyle w:val="Saturs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lv-LV" w:eastAsia="lv-LV"/>
            </w:rPr>
          </w:pPr>
          <w:hyperlink w:anchor="_Toc214625083" w:history="1">
            <w:r w:rsidRPr="009867C8">
              <w:rPr>
                <w:rStyle w:val="Hipersaite"/>
                <w:rFonts w:ascii="Times New Roman" w:hAnsi="Times New Roman" w:cs="Times New Roman"/>
                <w:noProof/>
                <w:lang w:val="lv-LV"/>
              </w:rPr>
              <w:t>Antibiotiku izraisītas caurejas riska faktori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_Toc214625083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B753B" w14:textId="5FDDD28A" w:rsidR="00DA7BDD" w:rsidRDefault="00DA7BDD">
          <w:pPr>
            <w:pStyle w:val="Saturs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lv-LV" w:eastAsia="lv-LV"/>
            </w:rPr>
          </w:pPr>
          <w:hyperlink w:anchor="_Toc214625084" w:history="1">
            <w:r w:rsidRPr="009867C8">
              <w:rPr>
                <w:rStyle w:val="Hipersaite"/>
                <w:rFonts w:ascii="Times New Roman" w:hAnsi="Times New Roman" w:cs="Times New Roman"/>
                <w:noProof/>
                <w:lang w:val="lv-LV"/>
              </w:rPr>
              <w:t>Antibiotiku izraisītas caurejas diagnoze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_Toc214625084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D4441" w14:textId="2AB76B70" w:rsidR="00DA7BDD" w:rsidRDefault="00DA7BDD">
          <w:pPr>
            <w:pStyle w:val="Saturs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lv-LV" w:eastAsia="lv-LV"/>
            </w:rPr>
          </w:pPr>
          <w:hyperlink w:anchor="_Toc214625085" w:history="1">
            <w:r w:rsidRPr="009867C8">
              <w:rPr>
                <w:rStyle w:val="Hipersaite"/>
                <w:rFonts w:ascii="Times New Roman" w:hAnsi="Times New Roman" w:cs="Times New Roman"/>
                <w:noProof/>
                <w:shd w:val="clear" w:color="auto" w:fill="FFFFFF"/>
                <w:lang w:val="lv-LV"/>
              </w:rPr>
              <w:t>Vadlīnijas un ieteikumi antibiotiku izraisītas caurejas gadījumā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_Toc214625085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05A11" w14:textId="2027556E" w:rsidR="00DA7BDD" w:rsidRDefault="00DA7BDD">
          <w:pPr>
            <w:pStyle w:val="Saturs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lv-LV" w:eastAsia="lv-LV"/>
            </w:rPr>
          </w:pPr>
          <w:hyperlink w:anchor="_Toc214625086" w:history="1">
            <w:r w:rsidRPr="009867C8">
              <w:rPr>
                <w:rStyle w:val="Hipersaite"/>
                <w:rFonts w:ascii="Times New Roman" w:hAnsi="Times New Roman" w:cs="Times New Roman"/>
                <w:noProof/>
                <w:shd w:val="clear" w:color="auto" w:fill="FFFFFF"/>
                <w:lang w:val="lv-LV"/>
              </w:rPr>
              <w:t>Secinājumi - ieteikumi antibiotiku izraisītas caurejas profilaksei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_Toc214625086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BF999" w14:textId="7F0956B3" w:rsidR="00DA7BDD" w:rsidRDefault="00DA7BDD">
          <w:pPr>
            <w:pStyle w:val="Saturs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lv-LV" w:eastAsia="lv-LV"/>
            </w:rPr>
          </w:pPr>
          <w:hyperlink w:anchor="_Toc214625087" w:history="1">
            <w:r w:rsidRPr="009867C8">
              <w:rPr>
                <w:rStyle w:val="Hipersaite"/>
                <w:rFonts w:ascii="Times New Roman" w:hAnsi="Times New Roman" w:cs="Times New Roman"/>
                <w:noProof/>
                <w:shd w:val="clear" w:color="auto" w:fill="FFFFFF"/>
                <w:lang w:val="lv-LV"/>
              </w:rPr>
              <w:t>Atsauces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_Toc214625087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3DADC" w14:textId="759F119D" w:rsidR="004F5261" w:rsidRDefault="004F5261">
          <w:r>
            <w:rPr>
              <w:b/>
              <w:bCs/>
              <w:noProof/>
            </w:rPr>
            <w:fldChar w:fldCharType="end"/>
          </w:r>
        </w:p>
      </w:sdtContent>
    </w:sdt>
    <w:p w14:paraId="410CD2E9" w14:textId="77777777" w:rsidR="007B3AC2" w:rsidRDefault="007B3AC2" w:rsidP="00A53AC6">
      <w:pPr>
        <w:pStyle w:val="Virsraksts1"/>
        <w:rPr>
          <w:lang w:val="lv-LV"/>
        </w:rPr>
      </w:pPr>
    </w:p>
    <w:p w14:paraId="47794194" w14:textId="77777777" w:rsidR="007B3AC2" w:rsidRDefault="007B3AC2" w:rsidP="00A53AC6">
      <w:pPr>
        <w:pStyle w:val="Virsraksts1"/>
        <w:rPr>
          <w:lang w:val="lv-LV"/>
        </w:rPr>
      </w:pPr>
    </w:p>
    <w:p w14:paraId="6A2FF177" w14:textId="77777777" w:rsidR="007B3AC2" w:rsidRDefault="007B3AC2" w:rsidP="00A53AC6">
      <w:pPr>
        <w:pStyle w:val="Virsraksts1"/>
        <w:rPr>
          <w:lang w:val="lv-LV"/>
        </w:rPr>
      </w:pPr>
    </w:p>
    <w:p w14:paraId="61D280DC" w14:textId="77777777" w:rsidR="006C5989" w:rsidRDefault="006C5989" w:rsidP="006C5989">
      <w:pPr>
        <w:rPr>
          <w:lang w:val="lv-LV"/>
        </w:rPr>
      </w:pPr>
    </w:p>
    <w:p w14:paraId="036CA009" w14:textId="77777777" w:rsidR="006C5989" w:rsidRDefault="006C5989" w:rsidP="006C5989">
      <w:pPr>
        <w:rPr>
          <w:lang w:val="lv-LV"/>
        </w:rPr>
      </w:pPr>
    </w:p>
    <w:p w14:paraId="2B4BD944" w14:textId="77777777" w:rsidR="006C5989" w:rsidRDefault="006C5989" w:rsidP="006C5989">
      <w:pPr>
        <w:rPr>
          <w:lang w:val="lv-LV"/>
        </w:rPr>
      </w:pPr>
    </w:p>
    <w:p w14:paraId="42E1279E" w14:textId="77777777" w:rsidR="006C5989" w:rsidRDefault="006C5989" w:rsidP="006C5989">
      <w:pPr>
        <w:rPr>
          <w:lang w:val="lv-LV"/>
        </w:rPr>
      </w:pPr>
    </w:p>
    <w:p w14:paraId="373CF3C0" w14:textId="77777777" w:rsidR="006C5989" w:rsidRDefault="006C5989" w:rsidP="006C5989">
      <w:pPr>
        <w:rPr>
          <w:lang w:val="lv-LV"/>
        </w:rPr>
      </w:pPr>
    </w:p>
    <w:p w14:paraId="4F6C1F91" w14:textId="77777777" w:rsidR="006C5989" w:rsidRDefault="006C5989" w:rsidP="006C5989">
      <w:pPr>
        <w:rPr>
          <w:lang w:val="lv-LV"/>
        </w:rPr>
      </w:pPr>
    </w:p>
    <w:p w14:paraId="671C83E2" w14:textId="77777777" w:rsidR="006C5989" w:rsidRDefault="006C5989" w:rsidP="006C5989">
      <w:pPr>
        <w:rPr>
          <w:lang w:val="lv-LV"/>
        </w:rPr>
      </w:pPr>
    </w:p>
    <w:p w14:paraId="2D3EB042" w14:textId="77777777" w:rsidR="006C5989" w:rsidRDefault="006C5989" w:rsidP="006C5989">
      <w:pPr>
        <w:rPr>
          <w:lang w:val="lv-LV"/>
        </w:rPr>
      </w:pPr>
    </w:p>
    <w:p w14:paraId="69CC1654" w14:textId="77777777" w:rsidR="003B1FCF" w:rsidRPr="003B1FCF" w:rsidRDefault="003B1FCF" w:rsidP="003B1FCF">
      <w:pPr>
        <w:rPr>
          <w:lang w:val="lv-LV"/>
        </w:rPr>
      </w:pPr>
    </w:p>
    <w:p w14:paraId="67FFBD2D" w14:textId="77777777" w:rsidR="0048236E" w:rsidRDefault="0048236E">
      <w:pPr>
        <w:rPr>
          <w:rFonts w:ascii="Graphik" w:eastAsia="Graphik Semibold" w:hAnsi="Graphik" w:cs="Graphik Semibold"/>
          <w:b/>
          <w:bCs/>
          <w:color w:val="000000"/>
          <w:spacing w:val="-13"/>
          <w:kern w:val="0"/>
          <w:sz w:val="18"/>
          <w:szCs w:val="18"/>
          <w:bdr w:val="nil"/>
          <w:lang w:val="lv-LV" w:eastAsia="lv-LV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bookmarkStart w:id="9" w:name="_Toc210136823"/>
      <w:r>
        <w:rPr>
          <w:rFonts w:ascii="Graphik" w:hAnsi="Graphik"/>
          <w:b/>
          <w:bCs/>
          <w:sz w:val="18"/>
          <w:szCs w:val="18"/>
        </w:rPr>
        <w:br w:type="page"/>
      </w:r>
    </w:p>
    <w:p w14:paraId="6D0F8C02" w14:textId="3C82262F" w:rsidR="00922D46" w:rsidRDefault="00922D46" w:rsidP="00922D46">
      <w:pPr>
        <w:pStyle w:val="Attribution"/>
        <w:spacing w:after="160" w:line="288" w:lineRule="auto"/>
        <w:rPr>
          <w:rFonts w:ascii="Graphik" w:hAnsi="Graphik"/>
          <w:b/>
          <w:bCs/>
          <w:sz w:val="18"/>
          <w:szCs w:val="18"/>
        </w:rPr>
      </w:pPr>
      <w:r>
        <w:rPr>
          <w:rFonts w:ascii="Graphik" w:hAnsi="Graphik"/>
          <w:b/>
          <w:bCs/>
          <w:sz w:val="18"/>
          <w:szCs w:val="18"/>
        </w:rPr>
        <w:lastRenderedPageBreak/>
        <w:t>Tekstā izmantotie saīsinājumi</w:t>
      </w:r>
    </w:p>
    <w:p w14:paraId="0BCC9094" w14:textId="5DDB6BC8" w:rsidR="00922D46" w:rsidRPr="00922D46" w:rsidRDefault="00922D46" w:rsidP="00922D46">
      <w:pPr>
        <w:pStyle w:val="Attribution"/>
        <w:spacing w:after="160" w:line="288" w:lineRule="auto"/>
        <w:rPr>
          <w:rFonts w:ascii="Times New Roman" w:hAnsi="Times New Roman" w:cs="Times New Roman"/>
          <w:sz w:val="24"/>
          <w:szCs w:val="24"/>
        </w:rPr>
      </w:pPr>
      <w:r w:rsidRPr="00922D46">
        <w:rPr>
          <w:rFonts w:ascii="Times New Roman" w:hAnsi="Times New Roman" w:cs="Times New Roman"/>
          <w:sz w:val="24"/>
          <w:szCs w:val="24"/>
        </w:rPr>
        <w:t xml:space="preserve">AB – </w:t>
      </w:r>
      <w:proofErr w:type="spellStart"/>
      <w:r w:rsidRPr="00922D46">
        <w:rPr>
          <w:rFonts w:ascii="Times New Roman" w:hAnsi="Times New Roman" w:cs="Times New Roman"/>
          <w:sz w:val="24"/>
          <w:szCs w:val="24"/>
        </w:rPr>
        <w:t>antobiotikas</w:t>
      </w:r>
      <w:proofErr w:type="spellEnd"/>
      <w:r w:rsidRPr="00922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EA0EF" w14:textId="5DE7C4E1" w:rsidR="00922D46" w:rsidRPr="00922D46" w:rsidRDefault="00922D46" w:rsidP="00922D46">
      <w:pPr>
        <w:pStyle w:val="Attribution"/>
        <w:spacing w:after="160" w:line="288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22D46">
        <w:rPr>
          <w:rFonts w:ascii="Times New Roman" w:hAnsi="Times New Roman" w:cs="Times New Roman"/>
          <w:sz w:val="24"/>
          <w:szCs w:val="24"/>
        </w:rPr>
        <w:t xml:space="preserve">AI – </w:t>
      </w:r>
      <w:r w:rsidRPr="00922D4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antibiotiku i</w:t>
      </w:r>
      <w:r w:rsidR="00B94EA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zraisīt</w:t>
      </w:r>
      <w:r w:rsidRPr="00922D4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 </w:t>
      </w:r>
    </w:p>
    <w:p w14:paraId="254EC17D" w14:textId="310AF101" w:rsidR="00922D46" w:rsidRPr="00922D46" w:rsidRDefault="00922D46" w:rsidP="00922D46">
      <w:pPr>
        <w:pStyle w:val="Attribution"/>
        <w:spacing w:after="160" w:line="288" w:lineRule="auto"/>
        <w:rPr>
          <w:rFonts w:ascii="Times New Roman" w:hAnsi="Times New Roman" w:cs="Times New Roman"/>
          <w:sz w:val="24"/>
          <w:szCs w:val="24"/>
        </w:rPr>
      </w:pPr>
      <w:r w:rsidRPr="00922D46">
        <w:rPr>
          <w:rFonts w:ascii="Times New Roman" w:hAnsi="Times New Roman" w:cs="Times New Roman"/>
          <w:sz w:val="24"/>
          <w:szCs w:val="24"/>
        </w:rPr>
        <w:t>AIC -  antibiotiku izraisīta caureja</w:t>
      </w:r>
    </w:p>
    <w:p w14:paraId="32BEA055" w14:textId="74E4B6F8" w:rsidR="00922D46" w:rsidRPr="00922D46" w:rsidRDefault="00922D46" w:rsidP="00922D46">
      <w:pPr>
        <w:pStyle w:val="Attribution"/>
        <w:spacing w:after="160" w:line="288" w:lineRule="auto"/>
        <w:rPr>
          <w:rFonts w:ascii="Times New Roman" w:hAnsi="Times New Roman" w:cs="Times New Roman"/>
          <w:sz w:val="24"/>
          <w:szCs w:val="24"/>
        </w:rPr>
      </w:pPr>
      <w:r w:rsidRPr="00922D46">
        <w:rPr>
          <w:rFonts w:ascii="Times New Roman" w:hAnsi="Times New Roman" w:cs="Times New Roman"/>
          <w:sz w:val="24"/>
          <w:szCs w:val="24"/>
        </w:rPr>
        <w:t xml:space="preserve">CDI - </w:t>
      </w:r>
      <w:proofErr w:type="spellStart"/>
      <w:r w:rsidRPr="00922D46">
        <w:rPr>
          <w:rStyle w:val="Izclums"/>
          <w:rFonts w:ascii="Times New Roman" w:eastAsiaTheme="majorEastAsia" w:hAnsi="Times New Roman" w:cs="Times New Roman"/>
          <w:sz w:val="24"/>
          <w:szCs w:val="24"/>
        </w:rPr>
        <w:t>Clostridi</w:t>
      </w:r>
      <w:r w:rsidR="009C49E4">
        <w:rPr>
          <w:rStyle w:val="Izclums"/>
          <w:rFonts w:ascii="Times New Roman" w:eastAsiaTheme="majorEastAsia" w:hAnsi="Times New Roman" w:cs="Times New Roman"/>
          <w:sz w:val="24"/>
          <w:szCs w:val="24"/>
        </w:rPr>
        <w:t>um</w:t>
      </w:r>
      <w:proofErr w:type="spellEnd"/>
      <w:r w:rsidRPr="00922D46">
        <w:rPr>
          <w:rStyle w:val="Izclums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D46">
        <w:rPr>
          <w:rStyle w:val="Izclums"/>
          <w:rFonts w:ascii="Times New Roman" w:eastAsiaTheme="majorEastAsia" w:hAnsi="Times New Roman" w:cs="Times New Roman"/>
          <w:sz w:val="24"/>
          <w:szCs w:val="24"/>
        </w:rPr>
        <w:t>difficile</w:t>
      </w:r>
      <w:proofErr w:type="spellEnd"/>
      <w:r w:rsidRPr="00922D46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</w:t>
      </w:r>
      <w:r w:rsidRPr="00922D46">
        <w:rPr>
          <w:rFonts w:ascii="Times New Roman" w:hAnsi="Times New Roman" w:cs="Times New Roman"/>
          <w:sz w:val="24"/>
          <w:szCs w:val="24"/>
        </w:rPr>
        <w:t>infekcija</w:t>
      </w:r>
    </w:p>
    <w:p w14:paraId="28FA6BAC" w14:textId="77777777" w:rsidR="00F1743B" w:rsidRDefault="00F1743B" w:rsidP="00922D46">
      <w:pPr>
        <w:pStyle w:val="Attribution"/>
        <w:spacing w:after="160" w:line="288" w:lineRule="auto"/>
        <w:rPr>
          <w:rFonts w:ascii="Times New Roman" w:hAnsi="Times New Roman" w:cs="Times New Roman"/>
          <w:sz w:val="24"/>
          <w:szCs w:val="24"/>
        </w:rPr>
      </w:pPr>
      <w:r w:rsidRPr="000803F8">
        <w:rPr>
          <w:rFonts w:ascii="Times New Roman" w:hAnsi="Times New Roman" w:cs="Times New Roman"/>
          <w:sz w:val="24"/>
          <w:szCs w:val="24"/>
        </w:rPr>
        <w:t xml:space="preserve">DDD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803F8">
        <w:rPr>
          <w:rFonts w:ascii="Times New Roman" w:hAnsi="Times New Roman" w:cs="Times New Roman"/>
          <w:sz w:val="24"/>
          <w:szCs w:val="24"/>
        </w:rPr>
        <w:t>definēt</w:t>
      </w:r>
      <w:r>
        <w:rPr>
          <w:rFonts w:ascii="Times New Roman" w:hAnsi="Times New Roman" w:cs="Times New Roman"/>
          <w:sz w:val="24"/>
          <w:szCs w:val="24"/>
        </w:rPr>
        <w:t>ās</w:t>
      </w:r>
      <w:r w:rsidRPr="000803F8">
        <w:rPr>
          <w:rFonts w:ascii="Times New Roman" w:hAnsi="Times New Roman" w:cs="Times New Roman"/>
          <w:sz w:val="24"/>
          <w:szCs w:val="24"/>
        </w:rPr>
        <w:t xml:space="preserve"> dienas dev</w:t>
      </w:r>
      <w:r>
        <w:rPr>
          <w:rFonts w:ascii="Times New Roman" w:hAnsi="Times New Roman" w:cs="Times New Roman"/>
          <w:sz w:val="24"/>
          <w:szCs w:val="24"/>
        </w:rPr>
        <w:t>as</w:t>
      </w:r>
    </w:p>
    <w:p w14:paraId="5169E18F" w14:textId="77777777" w:rsidR="00F1743B" w:rsidRPr="00065458" w:rsidRDefault="00F1743B" w:rsidP="00F1743B">
      <w:pPr>
        <w:pStyle w:val="Attribution"/>
        <w:spacing w:after="160" w:line="288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065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ESPGHAN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065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Eiropas Pediatru </w:t>
      </w:r>
      <w:proofErr w:type="spellStart"/>
      <w:r w:rsidRPr="00065458">
        <w:rPr>
          <w:rFonts w:ascii="Times New Roman" w:hAnsi="Times New Roman" w:cs="Times New Roman"/>
          <w:sz w:val="24"/>
          <w:szCs w:val="24"/>
          <w:shd w:val="clear" w:color="auto" w:fill="FFFFFF"/>
        </w:rPr>
        <w:t>Gastroenterologu</w:t>
      </w:r>
      <w:proofErr w:type="spellEnd"/>
      <w:r w:rsidRPr="00065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5458">
        <w:rPr>
          <w:rFonts w:ascii="Times New Roman" w:hAnsi="Times New Roman" w:cs="Times New Roman"/>
          <w:sz w:val="24"/>
          <w:szCs w:val="24"/>
          <w:shd w:val="clear" w:color="auto" w:fill="FFFFFF"/>
        </w:rPr>
        <w:t>Hepatologu</w:t>
      </w:r>
      <w:proofErr w:type="spellEnd"/>
      <w:r w:rsidRPr="00065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uztura speciālistu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asociācija </w:t>
      </w:r>
      <w:r w:rsidRPr="00065458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European</w:t>
      </w:r>
      <w:proofErr w:type="spellEnd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Society</w:t>
      </w:r>
      <w:proofErr w:type="spellEnd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for</w:t>
      </w:r>
      <w:proofErr w:type="spellEnd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Pediatric</w:t>
      </w:r>
      <w:proofErr w:type="spellEnd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Gastroenterology</w:t>
      </w:r>
      <w:proofErr w:type="spellEnd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Hepatology</w:t>
      </w:r>
      <w:proofErr w:type="spellEnd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0654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Nutrition</w:t>
      </w:r>
      <w:proofErr w:type="spellEnd"/>
      <w:r w:rsidRPr="0006545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0C90A764" w14:textId="37754590" w:rsidR="00922D46" w:rsidRDefault="00922D46" w:rsidP="00922D46">
      <w:pPr>
        <w:pStyle w:val="Attribution"/>
        <w:spacing w:after="160" w:line="288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22D46">
        <w:rPr>
          <w:rFonts w:ascii="Times New Roman" w:hAnsi="Times New Roman" w:cs="Times New Roman"/>
          <w:sz w:val="24"/>
          <w:szCs w:val="24"/>
        </w:rPr>
        <w:t xml:space="preserve">PMK - </w:t>
      </w:r>
      <w:proofErr w:type="spellStart"/>
      <w:r w:rsidRPr="00922D4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Pseidomembranozs</w:t>
      </w:r>
      <w:proofErr w:type="spellEnd"/>
      <w:r w:rsidRPr="00922D4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kolīts</w:t>
      </w:r>
    </w:p>
    <w:p w14:paraId="77C28F24" w14:textId="77777777" w:rsidR="00922D46" w:rsidRDefault="00922D46" w:rsidP="00922D46">
      <w:pPr>
        <w:pStyle w:val="Attribution"/>
        <w:spacing w:after="160" w:line="288" w:lineRule="auto"/>
        <w:rPr>
          <w:rFonts w:ascii="Times New Roman" w:hAnsi="Times New Roman" w:cs="Times New Roman"/>
          <w:sz w:val="24"/>
          <w:szCs w:val="24"/>
        </w:rPr>
      </w:pPr>
    </w:p>
    <w:p w14:paraId="22F25B18" w14:textId="77777777" w:rsidR="00F1743B" w:rsidRDefault="00F1743B" w:rsidP="00922D46">
      <w:pPr>
        <w:pStyle w:val="Attribution"/>
        <w:spacing w:after="160" w:line="288" w:lineRule="auto"/>
        <w:rPr>
          <w:rFonts w:ascii="Times New Roman" w:hAnsi="Times New Roman" w:cs="Times New Roman"/>
          <w:sz w:val="24"/>
          <w:szCs w:val="24"/>
        </w:rPr>
      </w:pPr>
    </w:p>
    <w:p w14:paraId="1E221A71" w14:textId="77777777" w:rsidR="00F1743B" w:rsidRDefault="00F1743B" w:rsidP="00922D46">
      <w:pPr>
        <w:pStyle w:val="Attribution"/>
        <w:spacing w:after="160" w:line="288" w:lineRule="auto"/>
        <w:rPr>
          <w:rFonts w:ascii="Times New Roman" w:hAnsi="Times New Roman" w:cs="Times New Roman"/>
          <w:sz w:val="24"/>
          <w:szCs w:val="24"/>
        </w:rPr>
      </w:pPr>
    </w:p>
    <w:p w14:paraId="18D7BA79" w14:textId="77777777" w:rsidR="00F1743B" w:rsidRDefault="00F1743B" w:rsidP="00922D46">
      <w:pPr>
        <w:pStyle w:val="Attribution"/>
        <w:spacing w:after="160" w:line="288" w:lineRule="auto"/>
        <w:rPr>
          <w:rFonts w:ascii="Times New Roman" w:hAnsi="Times New Roman" w:cs="Times New Roman"/>
          <w:sz w:val="24"/>
          <w:szCs w:val="24"/>
        </w:rPr>
      </w:pPr>
    </w:p>
    <w:p w14:paraId="1792FD1E" w14:textId="77777777" w:rsidR="00F1743B" w:rsidRDefault="00F1743B" w:rsidP="00922D46">
      <w:pPr>
        <w:pStyle w:val="Attribution"/>
        <w:spacing w:after="160" w:line="288" w:lineRule="auto"/>
        <w:rPr>
          <w:rFonts w:ascii="Times New Roman" w:hAnsi="Times New Roman" w:cs="Times New Roman"/>
          <w:sz w:val="24"/>
          <w:szCs w:val="24"/>
        </w:rPr>
      </w:pPr>
    </w:p>
    <w:p w14:paraId="47120DE5" w14:textId="77777777" w:rsidR="00F1743B" w:rsidRDefault="00F1743B" w:rsidP="00922D46">
      <w:pPr>
        <w:pStyle w:val="Attribution"/>
        <w:spacing w:after="160" w:line="288" w:lineRule="auto"/>
        <w:rPr>
          <w:rFonts w:ascii="Times New Roman" w:hAnsi="Times New Roman" w:cs="Times New Roman"/>
          <w:sz w:val="24"/>
          <w:szCs w:val="24"/>
        </w:rPr>
      </w:pPr>
    </w:p>
    <w:p w14:paraId="4CF673FF" w14:textId="77777777" w:rsidR="00F1743B" w:rsidRDefault="00F1743B" w:rsidP="00922D46">
      <w:pPr>
        <w:pStyle w:val="Attribution"/>
        <w:spacing w:after="160" w:line="288" w:lineRule="auto"/>
        <w:rPr>
          <w:rFonts w:ascii="Times New Roman" w:hAnsi="Times New Roman" w:cs="Times New Roman"/>
          <w:sz w:val="24"/>
          <w:szCs w:val="24"/>
        </w:rPr>
      </w:pPr>
    </w:p>
    <w:p w14:paraId="3D1484C5" w14:textId="77777777" w:rsidR="00F1743B" w:rsidRDefault="00F1743B" w:rsidP="00922D46">
      <w:pPr>
        <w:pStyle w:val="Attribution"/>
        <w:spacing w:after="160" w:line="288" w:lineRule="auto"/>
        <w:rPr>
          <w:rFonts w:ascii="Times New Roman" w:hAnsi="Times New Roman" w:cs="Times New Roman"/>
          <w:sz w:val="24"/>
          <w:szCs w:val="24"/>
        </w:rPr>
      </w:pPr>
    </w:p>
    <w:p w14:paraId="5AB4883F" w14:textId="77777777" w:rsidR="00F1743B" w:rsidRDefault="00F1743B" w:rsidP="00922D46">
      <w:pPr>
        <w:pStyle w:val="Attribution"/>
        <w:spacing w:after="160" w:line="288" w:lineRule="auto"/>
        <w:rPr>
          <w:rFonts w:ascii="Times New Roman" w:hAnsi="Times New Roman" w:cs="Times New Roman"/>
          <w:sz w:val="24"/>
          <w:szCs w:val="24"/>
        </w:rPr>
      </w:pPr>
    </w:p>
    <w:p w14:paraId="386D265D" w14:textId="77777777" w:rsidR="00F1743B" w:rsidRPr="00922D46" w:rsidRDefault="00F1743B" w:rsidP="00922D46">
      <w:pPr>
        <w:pStyle w:val="Attribution"/>
        <w:spacing w:after="160" w:line="288" w:lineRule="auto"/>
        <w:rPr>
          <w:rFonts w:ascii="Times New Roman" w:hAnsi="Times New Roman" w:cs="Times New Roman"/>
          <w:sz w:val="24"/>
          <w:szCs w:val="24"/>
        </w:rPr>
      </w:pPr>
    </w:p>
    <w:p w14:paraId="5A7A41E8" w14:textId="77777777" w:rsidR="00922D46" w:rsidRPr="00922D46" w:rsidRDefault="00922D46" w:rsidP="00922D46">
      <w:pPr>
        <w:pStyle w:val="Attribution"/>
        <w:spacing w:after="160" w:line="288" w:lineRule="auto"/>
        <w:rPr>
          <w:rFonts w:ascii="Graphik" w:eastAsia="Graphik" w:hAnsi="Graphik" w:cs="Graphik"/>
          <w:sz w:val="18"/>
          <w:szCs w:val="18"/>
        </w:rPr>
      </w:pPr>
    </w:p>
    <w:p w14:paraId="0A9B04AD" w14:textId="21469C4A" w:rsidR="00F1743B" w:rsidRPr="005916D2" w:rsidRDefault="00F1743B" w:rsidP="00F1743B">
      <w:pPr>
        <w:rPr>
          <w:lang w:val="lv-LV"/>
        </w:rPr>
      </w:pPr>
      <w:r w:rsidRPr="005916D2">
        <w:rPr>
          <w:lang w:val="lv-LV"/>
        </w:rPr>
        <w:t xml:space="preserve">Rekomendācijas izstrādātas LZP projekta "Zarnu trakta </w:t>
      </w:r>
      <w:proofErr w:type="spellStart"/>
      <w:r w:rsidRPr="005916D2">
        <w:rPr>
          <w:lang w:val="lv-LV"/>
        </w:rPr>
        <w:t>mikrobiotu</w:t>
      </w:r>
      <w:proofErr w:type="spellEnd"/>
      <w:r w:rsidRPr="005916D2">
        <w:rPr>
          <w:lang w:val="lv-LV"/>
        </w:rPr>
        <w:t xml:space="preserve"> ietekmējoši faktori un saistība ar veselības stāvokli zīdaiņiem un mazuļiem: </w:t>
      </w:r>
      <w:proofErr w:type="spellStart"/>
      <w:r w:rsidRPr="005916D2">
        <w:rPr>
          <w:lang w:val="lv-LV"/>
        </w:rPr>
        <w:t>prospektīva</w:t>
      </w:r>
      <w:proofErr w:type="spellEnd"/>
      <w:r w:rsidRPr="005916D2">
        <w:rPr>
          <w:lang w:val="lv-LV"/>
        </w:rPr>
        <w:t xml:space="preserve"> fēču </w:t>
      </w:r>
      <w:proofErr w:type="spellStart"/>
      <w:r w:rsidRPr="005916D2">
        <w:rPr>
          <w:lang w:val="lv-LV"/>
        </w:rPr>
        <w:t>mikrobiotas</w:t>
      </w:r>
      <w:proofErr w:type="spellEnd"/>
      <w:r w:rsidRPr="005916D2">
        <w:rPr>
          <w:lang w:val="lv-LV"/>
        </w:rPr>
        <w:t xml:space="preserve"> sastāva </w:t>
      </w:r>
      <w:proofErr w:type="spellStart"/>
      <w:r w:rsidRPr="005916D2">
        <w:rPr>
          <w:lang w:val="lv-LV"/>
        </w:rPr>
        <w:t>metagenomiska</w:t>
      </w:r>
      <w:proofErr w:type="spellEnd"/>
      <w:r w:rsidRPr="005916D2">
        <w:rPr>
          <w:lang w:val="lv-LV"/>
        </w:rPr>
        <w:t xml:space="preserve"> analīze bērniem līdz 36 mēnešu vecumam" ietvaros; Projekta numurs: lzp-2021/1-0275</w:t>
      </w:r>
    </w:p>
    <w:p w14:paraId="1B0A2183" w14:textId="1E3B3D92" w:rsidR="00922D46" w:rsidRDefault="00F1743B" w:rsidP="005073E2">
      <w:pPr>
        <w:rPr>
          <w:rFonts w:ascii="Times New Roman" w:hAnsi="Times New Roman" w:cs="Times New Roman"/>
          <w:lang w:val="lv-LV"/>
        </w:rPr>
      </w:pPr>
      <w:r w:rsidRPr="005916D2">
        <w:rPr>
          <w:lang w:val="lv-LV"/>
        </w:rPr>
        <w:t>Latvijas Universitātes zinātniskā grupa: Ilva Daugule, Egija Zelča, Daiga Kārkliņa, Ingrīda Rumba-</w:t>
      </w:r>
      <w:proofErr w:type="spellStart"/>
      <w:r w:rsidRPr="005916D2">
        <w:rPr>
          <w:lang w:val="lv-LV"/>
        </w:rPr>
        <w:t>Rozenfelde</w:t>
      </w:r>
      <w:proofErr w:type="spellEnd"/>
      <w:r w:rsidRPr="005916D2">
        <w:rPr>
          <w:lang w:val="lv-LV"/>
        </w:rPr>
        <w:t xml:space="preserve">, Sarmīte Kupča, Ērika Lūse, Jana </w:t>
      </w:r>
      <w:proofErr w:type="spellStart"/>
      <w:r w:rsidRPr="005916D2">
        <w:rPr>
          <w:lang w:val="lv-LV"/>
        </w:rPr>
        <w:t>Petrelevica</w:t>
      </w:r>
      <w:proofErr w:type="spellEnd"/>
      <w:r w:rsidRPr="005916D2">
        <w:rPr>
          <w:lang w:val="lv-LV"/>
        </w:rPr>
        <w:t xml:space="preserve">, Līga Grantiņa, Margarita Zaharova, Larisa Zaharova, Ērika </w:t>
      </w:r>
      <w:proofErr w:type="spellStart"/>
      <w:r w:rsidRPr="005916D2">
        <w:rPr>
          <w:lang w:val="lv-LV"/>
        </w:rPr>
        <w:t>Bļinkova</w:t>
      </w:r>
      <w:proofErr w:type="spellEnd"/>
      <w:r w:rsidRPr="005916D2">
        <w:rPr>
          <w:lang w:val="lv-LV"/>
        </w:rPr>
        <w:t xml:space="preserve">, Krista Fišere, Krista </w:t>
      </w:r>
      <w:proofErr w:type="spellStart"/>
      <w:r w:rsidRPr="005916D2">
        <w:rPr>
          <w:lang w:val="lv-LV"/>
        </w:rPr>
        <w:t>Ļūman</w:t>
      </w:r>
      <w:r w:rsidR="00AB70BF" w:rsidRPr="005916D2">
        <w:rPr>
          <w:lang w:val="lv-LV"/>
        </w:rPr>
        <w:t>e</w:t>
      </w:r>
      <w:proofErr w:type="spellEnd"/>
      <w:r w:rsidR="005073E2" w:rsidRPr="005916D2">
        <w:rPr>
          <w:lang w:val="lv-LV"/>
        </w:rPr>
        <w:t>.</w:t>
      </w:r>
    </w:p>
    <w:p w14:paraId="11AA966A" w14:textId="77777777" w:rsidR="00922D46" w:rsidRPr="00922D46" w:rsidRDefault="00922D46" w:rsidP="00922D46">
      <w:pPr>
        <w:rPr>
          <w:lang w:val="lv-LV"/>
        </w:rPr>
      </w:pPr>
    </w:p>
    <w:p w14:paraId="33AAB119" w14:textId="77777777" w:rsidR="00922D46" w:rsidRPr="00922D46" w:rsidRDefault="00922D46" w:rsidP="00922D46">
      <w:pPr>
        <w:rPr>
          <w:lang w:val="lv-LV"/>
        </w:rPr>
      </w:pPr>
    </w:p>
    <w:p w14:paraId="6536D585" w14:textId="77777777" w:rsidR="007B3DB5" w:rsidRPr="005916D2" w:rsidRDefault="007B3DB5">
      <w:pPr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val="lv-LV"/>
        </w:rPr>
      </w:pPr>
      <w:bookmarkStart w:id="10" w:name="_Toc206573732"/>
      <w:bookmarkStart w:id="11" w:name="_Toc210136824"/>
      <w:bookmarkEnd w:id="8"/>
      <w:bookmarkEnd w:id="9"/>
      <w:r w:rsidRPr="005916D2">
        <w:rPr>
          <w:rFonts w:ascii="Times New Roman" w:hAnsi="Times New Roman" w:cs="Times New Roman"/>
          <w:lang w:val="lv-LV"/>
        </w:rPr>
        <w:br w:type="page"/>
      </w:r>
    </w:p>
    <w:p w14:paraId="74B8D2E2" w14:textId="0E837BF3" w:rsidR="00D02649" w:rsidRPr="005916D2" w:rsidRDefault="00091D5F" w:rsidP="006C5989">
      <w:pPr>
        <w:pStyle w:val="Virsraksts2"/>
        <w:rPr>
          <w:rFonts w:ascii="Times New Roman" w:hAnsi="Times New Roman" w:cs="Times New Roman"/>
          <w:lang w:val="lv-LV"/>
        </w:rPr>
      </w:pPr>
      <w:bookmarkStart w:id="12" w:name="_Toc214625078"/>
      <w:r w:rsidRPr="005916D2">
        <w:rPr>
          <w:rFonts w:ascii="Times New Roman" w:hAnsi="Times New Roman" w:cs="Times New Roman"/>
          <w:lang w:val="lv-LV"/>
        </w:rPr>
        <w:lastRenderedPageBreak/>
        <w:t>Ievads</w:t>
      </w:r>
      <w:bookmarkEnd w:id="10"/>
      <w:bookmarkEnd w:id="11"/>
      <w:bookmarkEnd w:id="12"/>
    </w:p>
    <w:p w14:paraId="2F89168E" w14:textId="5565B7CB" w:rsidR="00091D5F" w:rsidRPr="002D6E4E" w:rsidRDefault="006137DF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916D2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6437AA" w:rsidRPr="005916D2">
        <w:rPr>
          <w:rFonts w:ascii="Times New Roman" w:hAnsi="Times New Roman" w:cs="Times New Roman"/>
          <w:sz w:val="24"/>
          <w:szCs w:val="24"/>
          <w:lang w:val="lv-LV"/>
        </w:rPr>
        <w:t>ntib</w:t>
      </w:r>
      <w:r w:rsidR="009C49E4" w:rsidRPr="005916D2">
        <w:rPr>
          <w:rFonts w:ascii="Times New Roman" w:hAnsi="Times New Roman" w:cs="Times New Roman"/>
          <w:sz w:val="24"/>
          <w:szCs w:val="24"/>
          <w:lang w:val="lv-LV"/>
        </w:rPr>
        <w:t>akteriāla terapija</w:t>
      </w:r>
      <w:r w:rsidR="006437AA" w:rsidRPr="005916D2">
        <w:rPr>
          <w:rFonts w:ascii="Times New Roman" w:hAnsi="Times New Roman" w:cs="Times New Roman"/>
          <w:sz w:val="24"/>
          <w:szCs w:val="24"/>
          <w:lang w:val="lv-LV"/>
        </w:rPr>
        <w:t xml:space="preserve"> bērniem ir ļoti izplatīta</w:t>
      </w:r>
      <w:r w:rsidR="00191531" w:rsidRPr="005916D2">
        <w:rPr>
          <w:rFonts w:ascii="Times New Roman" w:hAnsi="Times New Roman" w:cs="Times New Roman"/>
          <w:sz w:val="24"/>
          <w:szCs w:val="24"/>
          <w:lang w:val="lv-LV"/>
        </w:rPr>
        <w:t xml:space="preserve"> visa pasaulē</w:t>
      </w:r>
      <w:r w:rsidR="009C49E4" w:rsidRPr="005916D2">
        <w:rPr>
          <w:rFonts w:ascii="Times New Roman" w:hAnsi="Times New Roman" w:cs="Times New Roman"/>
          <w:sz w:val="24"/>
          <w:szCs w:val="24"/>
          <w:lang w:val="lv-LV"/>
        </w:rPr>
        <w:t>, turklāt antibiotikas ir vien</w:t>
      </w:r>
      <w:r w:rsidRPr="005916D2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9C49E4" w:rsidRPr="005916D2">
        <w:rPr>
          <w:rFonts w:ascii="Times New Roman" w:hAnsi="Times New Roman" w:cs="Times New Roman"/>
          <w:sz w:val="24"/>
          <w:szCs w:val="24"/>
          <w:lang w:val="lv-LV"/>
        </w:rPr>
        <w:t xml:space="preserve"> no biežāk izrakstītajiem medikamentiem pediatrijā [</w:t>
      </w:r>
      <w:proofErr w:type="spellStart"/>
      <w:r w:rsidR="00DF0588">
        <w:rPr>
          <w:rFonts w:ascii="Times New Roman" w:hAnsi="Times New Roman" w:cs="Times New Roman"/>
          <w:sz w:val="24"/>
          <w:szCs w:val="24"/>
          <w:lang w:val="lv-LV"/>
        </w:rPr>
        <w:t>Youngster</w:t>
      </w:r>
      <w:proofErr w:type="spellEnd"/>
      <w:r w:rsidR="00DF058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sz w:val="24"/>
          <w:szCs w:val="24"/>
          <w:lang w:val="lv-LV"/>
        </w:rPr>
        <w:t>et</w:t>
      </w:r>
      <w:proofErr w:type="spellEnd"/>
      <w:r w:rsidR="00DF058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sz w:val="24"/>
          <w:szCs w:val="24"/>
          <w:lang w:val="lv-LV"/>
        </w:rPr>
        <w:t>al</w:t>
      </w:r>
      <w:proofErr w:type="spellEnd"/>
      <w:r w:rsidR="00DF0588">
        <w:rPr>
          <w:rFonts w:ascii="Times New Roman" w:hAnsi="Times New Roman" w:cs="Times New Roman"/>
          <w:sz w:val="24"/>
          <w:szCs w:val="24"/>
          <w:lang w:val="lv-LV"/>
        </w:rPr>
        <w:t>, 2017</w:t>
      </w:r>
      <w:r w:rsidR="009C49E4" w:rsidRPr="005916D2">
        <w:rPr>
          <w:rFonts w:ascii="Times New Roman" w:hAnsi="Times New Roman" w:cs="Times New Roman"/>
          <w:sz w:val="24"/>
          <w:szCs w:val="24"/>
          <w:lang w:val="lv-LV"/>
        </w:rPr>
        <w:t>]</w:t>
      </w:r>
      <w:r w:rsidR="006437AA" w:rsidRPr="005916D2">
        <w:rPr>
          <w:rFonts w:ascii="Times New Roman" w:hAnsi="Times New Roman" w:cs="Times New Roman"/>
          <w:sz w:val="24"/>
          <w:szCs w:val="24"/>
          <w:lang w:val="lv-LV"/>
        </w:rPr>
        <w:t xml:space="preserve">. Arī Latvijā antibiotikas </w:t>
      </w:r>
      <w:r w:rsidR="00CA6BF4" w:rsidRPr="005916D2">
        <w:rPr>
          <w:rFonts w:ascii="Times New Roman" w:hAnsi="Times New Roman" w:cs="Times New Roman"/>
          <w:sz w:val="24"/>
          <w:szCs w:val="24"/>
          <w:lang w:val="lv-LV"/>
        </w:rPr>
        <w:t>ir</w:t>
      </w:r>
      <w:r w:rsidR="006437AA" w:rsidRPr="005916D2">
        <w:rPr>
          <w:rFonts w:ascii="Times New Roman" w:hAnsi="Times New Roman" w:cs="Times New Roman"/>
          <w:sz w:val="24"/>
          <w:szCs w:val="24"/>
          <w:lang w:val="lv-LV"/>
        </w:rPr>
        <w:t xml:space="preserve"> bieži nozīmēts</w:t>
      </w:r>
      <w:r w:rsidR="00CA6BF4" w:rsidRPr="005916D2">
        <w:rPr>
          <w:rFonts w:ascii="Times New Roman" w:hAnsi="Times New Roman" w:cs="Times New Roman"/>
          <w:sz w:val="24"/>
          <w:szCs w:val="24"/>
          <w:lang w:val="lv-LV"/>
        </w:rPr>
        <w:t xml:space="preserve"> medikaments</w:t>
      </w:r>
      <w:r w:rsidR="006437AA" w:rsidRPr="005916D2">
        <w:rPr>
          <w:rFonts w:ascii="Times New Roman" w:hAnsi="Times New Roman" w:cs="Times New Roman"/>
          <w:sz w:val="24"/>
          <w:szCs w:val="24"/>
          <w:lang w:val="lv-LV"/>
        </w:rPr>
        <w:t xml:space="preserve"> dažādu infekciju ārstēšanā</w:t>
      </w:r>
      <w:r w:rsidR="00091D5F" w:rsidRPr="00BB4DB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0968C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11915" w:rsidRPr="00BB4DB2">
        <w:rPr>
          <w:rFonts w:ascii="Times New Roman" w:hAnsi="Times New Roman" w:cs="Times New Roman"/>
          <w:sz w:val="24"/>
          <w:szCs w:val="24"/>
          <w:lang w:val="lv-LV"/>
        </w:rPr>
        <w:t>Piem</w:t>
      </w:r>
      <w:r w:rsidR="00EB1A2D" w:rsidRPr="00BB4DB2">
        <w:rPr>
          <w:rFonts w:ascii="Times New Roman" w:hAnsi="Times New Roman" w:cs="Times New Roman"/>
          <w:sz w:val="24"/>
          <w:szCs w:val="24"/>
          <w:lang w:val="lv-LV"/>
        </w:rPr>
        <w:t>ēram</w:t>
      </w:r>
      <w:r w:rsidR="00E11915" w:rsidRPr="00BB4DB2">
        <w:rPr>
          <w:rFonts w:ascii="Times New Roman" w:hAnsi="Times New Roman" w:cs="Times New Roman"/>
          <w:sz w:val="24"/>
          <w:szCs w:val="24"/>
          <w:lang w:val="lv-LV"/>
        </w:rPr>
        <w:t>, 202</w:t>
      </w:r>
      <w:r w:rsidR="00A53AC6" w:rsidRPr="00BB4DB2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E11915" w:rsidRPr="00BB4DB2">
        <w:rPr>
          <w:rFonts w:ascii="Times New Roman" w:hAnsi="Times New Roman" w:cs="Times New Roman"/>
          <w:sz w:val="24"/>
          <w:szCs w:val="24"/>
          <w:lang w:val="lv-LV"/>
        </w:rPr>
        <w:t>.gad</w:t>
      </w:r>
      <w:r w:rsidR="00A53AC6" w:rsidRPr="00BB4DB2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E11915" w:rsidRPr="00BB4DB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91D5F" w:rsidRPr="00BB4DB2">
        <w:rPr>
          <w:rFonts w:ascii="Times New Roman" w:hAnsi="Times New Roman" w:cs="Times New Roman"/>
          <w:sz w:val="24"/>
          <w:szCs w:val="24"/>
          <w:lang w:val="lv-LV"/>
        </w:rPr>
        <w:t>Latvijā</w:t>
      </w:r>
      <w:r w:rsidR="006C4B7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iz</w:t>
      </w:r>
      <w:r w:rsidR="006C4B71">
        <w:rPr>
          <w:rFonts w:ascii="Times New Roman" w:hAnsi="Times New Roman" w:cs="Times New Roman"/>
          <w:sz w:val="24"/>
          <w:szCs w:val="24"/>
          <w:lang w:val="lv-LV"/>
        </w:rPr>
        <w:t xml:space="preserve">rakstītās antibiotiku devas bija </w:t>
      </w:r>
      <w:r w:rsidR="003D1527">
        <w:rPr>
          <w:rFonts w:ascii="Times New Roman" w:hAnsi="Times New Roman" w:cs="Times New Roman"/>
          <w:sz w:val="24"/>
          <w:szCs w:val="24"/>
          <w:lang w:val="lv-LV"/>
        </w:rPr>
        <w:t>0.024</w:t>
      </w:r>
      <w:r w:rsidR="006C4B71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3D1527" w:rsidRPr="000803F8">
        <w:rPr>
          <w:rFonts w:ascii="Times New Roman" w:hAnsi="Times New Roman" w:cs="Times New Roman"/>
          <w:sz w:val="24"/>
          <w:szCs w:val="24"/>
          <w:lang w:val="lv-LV"/>
        </w:rPr>
        <w:t xml:space="preserve">DDD </w:t>
      </w:r>
      <w:r w:rsidR="006C4B71" w:rsidRPr="000803F8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3D1527" w:rsidRPr="000803F8">
        <w:rPr>
          <w:rFonts w:ascii="Times New Roman" w:hAnsi="Times New Roman" w:cs="Times New Roman"/>
          <w:sz w:val="24"/>
          <w:szCs w:val="24"/>
          <w:lang w:val="lv-LV"/>
        </w:rPr>
        <w:t>definēto dienas devu</w:t>
      </w:r>
      <w:r w:rsidR="006C4B71" w:rsidRPr="000803F8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3D1527" w:rsidRPr="000803F8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3D1527">
        <w:rPr>
          <w:rFonts w:ascii="Times New Roman" w:hAnsi="Times New Roman" w:cs="Times New Roman"/>
          <w:sz w:val="24"/>
          <w:szCs w:val="24"/>
          <w:lang w:val="lv-LV"/>
        </w:rPr>
        <w:t>/1000 iedzīvotājiem dienā</w:t>
      </w:r>
      <w:r w:rsidR="009C49E4">
        <w:rPr>
          <w:rFonts w:ascii="Times New Roman" w:hAnsi="Times New Roman" w:cs="Times New Roman"/>
          <w:sz w:val="24"/>
          <w:szCs w:val="24"/>
          <w:lang w:val="lv-LV"/>
        </w:rPr>
        <w:t xml:space="preserve"> [</w:t>
      </w:r>
      <w:r w:rsidR="00DF0588">
        <w:rPr>
          <w:rFonts w:ascii="Times New Roman" w:hAnsi="Times New Roman" w:cs="Times New Roman"/>
          <w:sz w:val="24"/>
          <w:szCs w:val="24"/>
          <w:lang w:val="lv-LV"/>
        </w:rPr>
        <w:t>ZVA, 2024</w:t>
      </w:r>
      <w:r w:rsidR="009C49E4">
        <w:rPr>
          <w:rFonts w:ascii="Times New Roman" w:hAnsi="Times New Roman" w:cs="Times New Roman"/>
          <w:sz w:val="24"/>
          <w:szCs w:val="24"/>
          <w:lang w:val="lv-LV"/>
        </w:rPr>
        <w:t>]</w:t>
      </w:r>
      <w:r w:rsidR="006C4B7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6F2DA81" w14:textId="64E70F30" w:rsidR="00BB4DB2" w:rsidRPr="002D6E4E" w:rsidRDefault="00BB4DB2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BB4DB2">
        <w:rPr>
          <w:rFonts w:ascii="Times New Roman" w:hAnsi="Times New Roman" w:cs="Times New Roman"/>
          <w:sz w:val="24"/>
          <w:szCs w:val="24"/>
          <w:lang w:val="lv-LV"/>
        </w:rPr>
        <w:t>T</w:t>
      </w:r>
      <w:r w:rsidRPr="002D6E4E">
        <w:rPr>
          <w:rFonts w:ascii="Times New Roman" w:hAnsi="Times New Roman" w:cs="Times New Roman"/>
          <w:sz w:val="24"/>
          <w:szCs w:val="24"/>
          <w:lang w:val="lv-LV"/>
        </w:rPr>
        <w:t>omēr antibakteriālā terapija var radīt nevēlamas blakusparādības. Viens no biežākajiem sarežģījumiem ir </w:t>
      </w:r>
      <w:r w:rsidRPr="002D6E4E">
        <w:rPr>
          <w:rFonts w:ascii="Times New Roman" w:hAnsi="Times New Roman" w:cs="Times New Roman"/>
          <w:b/>
          <w:bCs/>
          <w:sz w:val="24"/>
          <w:szCs w:val="24"/>
          <w:lang w:val="lv-LV"/>
        </w:rPr>
        <w:t>antibiotiku izraisīta caureja (AIC)</w:t>
      </w:r>
      <w:r w:rsidRPr="002D6E4E">
        <w:rPr>
          <w:rFonts w:ascii="Times New Roman" w:hAnsi="Times New Roman" w:cs="Times New Roman"/>
          <w:sz w:val="24"/>
          <w:szCs w:val="24"/>
          <w:lang w:val="lv-LV"/>
        </w:rPr>
        <w:t>, kas sastopama līdz pat 20–30% hospitalizēto bērnu pēc antibiotiku kursa</w:t>
      </w:r>
      <w:r w:rsidR="009C49E4">
        <w:rPr>
          <w:rFonts w:ascii="Times New Roman" w:hAnsi="Times New Roman" w:cs="Times New Roman"/>
          <w:sz w:val="24"/>
          <w:szCs w:val="24"/>
          <w:lang w:val="lv-LV"/>
        </w:rPr>
        <w:t xml:space="preserve"> [</w:t>
      </w:r>
      <w:proofErr w:type="spellStart"/>
      <w:r w:rsidR="00DF0588">
        <w:rPr>
          <w:rFonts w:ascii="Times New Roman" w:hAnsi="Times New Roman" w:cs="Times New Roman"/>
          <w:sz w:val="24"/>
          <w:szCs w:val="24"/>
          <w:lang w:val="lv-LV"/>
        </w:rPr>
        <w:t>Kaya</w:t>
      </w:r>
      <w:proofErr w:type="spellEnd"/>
      <w:r w:rsidR="00DF058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sz w:val="24"/>
          <w:szCs w:val="24"/>
          <w:lang w:val="lv-LV"/>
        </w:rPr>
        <w:t>et</w:t>
      </w:r>
      <w:proofErr w:type="spellEnd"/>
      <w:r w:rsidR="00DF058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sz w:val="24"/>
          <w:szCs w:val="24"/>
          <w:lang w:val="lv-LV"/>
        </w:rPr>
        <w:t>al</w:t>
      </w:r>
      <w:proofErr w:type="spellEnd"/>
      <w:r w:rsidR="00DF0588">
        <w:rPr>
          <w:rFonts w:ascii="Times New Roman" w:hAnsi="Times New Roman" w:cs="Times New Roman"/>
          <w:sz w:val="24"/>
          <w:szCs w:val="24"/>
          <w:lang w:val="lv-LV"/>
        </w:rPr>
        <w:t>, 2023</w:t>
      </w:r>
      <w:r w:rsidR="009C49E4">
        <w:rPr>
          <w:rFonts w:ascii="Times New Roman" w:hAnsi="Times New Roman" w:cs="Times New Roman"/>
          <w:sz w:val="24"/>
          <w:szCs w:val="24"/>
          <w:lang w:val="lv-LV"/>
        </w:rPr>
        <w:t>]</w:t>
      </w:r>
      <w:r w:rsidRPr="002D6E4E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C49E4">
        <w:rPr>
          <w:rFonts w:ascii="Times New Roman" w:hAnsi="Times New Roman" w:cs="Times New Roman"/>
          <w:sz w:val="24"/>
          <w:szCs w:val="24"/>
          <w:lang w:val="lv-LV"/>
        </w:rPr>
        <w:t xml:space="preserve"> Primārajā aprūpē AIC sastopama apmēram </w:t>
      </w:r>
      <w:r w:rsidR="00F553AC">
        <w:rPr>
          <w:rFonts w:ascii="Times New Roman" w:hAnsi="Times New Roman" w:cs="Times New Roman"/>
          <w:sz w:val="24"/>
          <w:szCs w:val="24"/>
          <w:lang w:val="lv-LV"/>
        </w:rPr>
        <w:t>3-23</w:t>
      </w:r>
      <w:r w:rsidR="009C49E4">
        <w:rPr>
          <w:rFonts w:ascii="Times New Roman" w:hAnsi="Times New Roman" w:cs="Times New Roman"/>
          <w:sz w:val="24"/>
          <w:szCs w:val="24"/>
          <w:lang w:val="lv-LV"/>
        </w:rPr>
        <w:t xml:space="preserve">% bērnu </w:t>
      </w:r>
      <w:r w:rsidR="009C49E4" w:rsidRPr="009654D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[</w:t>
      </w:r>
      <w:proofErr w:type="spellStart"/>
      <w:r w:rsidR="00DF05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Turck</w:t>
      </w:r>
      <w:proofErr w:type="spellEnd"/>
      <w:r w:rsidR="00DF05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et </w:t>
      </w:r>
      <w:proofErr w:type="spellStart"/>
      <w:r w:rsidR="00DF05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al</w:t>
      </w:r>
      <w:proofErr w:type="spellEnd"/>
      <w:r w:rsidR="00DF05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 2003</w:t>
      </w:r>
      <w:r w:rsidR="009C49E4" w:rsidRPr="009654D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].</w:t>
      </w:r>
      <w:r w:rsidRPr="009654D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</w:p>
    <w:p w14:paraId="6B5D2C24" w14:textId="59257771" w:rsidR="00BB4DB2" w:rsidRDefault="009C49E4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BB4DB2" w:rsidRPr="002D6E4E">
        <w:rPr>
          <w:rFonts w:ascii="Times New Roman" w:hAnsi="Times New Roman" w:cs="Times New Roman"/>
          <w:sz w:val="24"/>
          <w:szCs w:val="24"/>
          <w:lang w:val="lv-LV"/>
        </w:rPr>
        <w:t xml:space="preserve">rvien vairāk pētījumu pierāda, ka antibakteriāla terapija bērnībā </w:t>
      </w:r>
      <w:r w:rsidR="003D1527">
        <w:rPr>
          <w:rFonts w:ascii="Times New Roman" w:hAnsi="Times New Roman" w:cs="Times New Roman"/>
          <w:sz w:val="24"/>
          <w:szCs w:val="24"/>
          <w:lang w:val="lv-LV"/>
        </w:rPr>
        <w:t>var</w:t>
      </w:r>
      <w:r w:rsidR="006137DF">
        <w:rPr>
          <w:rFonts w:ascii="Times New Roman" w:hAnsi="Times New Roman" w:cs="Times New Roman"/>
          <w:sz w:val="24"/>
          <w:szCs w:val="24"/>
          <w:lang w:val="lv-LV"/>
        </w:rPr>
        <w:t>ētu</w:t>
      </w:r>
      <w:r w:rsidR="003D1527">
        <w:rPr>
          <w:rFonts w:ascii="Times New Roman" w:hAnsi="Times New Roman" w:cs="Times New Roman"/>
          <w:sz w:val="24"/>
          <w:szCs w:val="24"/>
          <w:lang w:val="lv-LV"/>
        </w:rPr>
        <w:t xml:space="preserve"> būt</w:t>
      </w:r>
      <w:r w:rsidR="00BB4DB2" w:rsidRPr="002D6E4E">
        <w:rPr>
          <w:rFonts w:ascii="Times New Roman" w:hAnsi="Times New Roman" w:cs="Times New Roman"/>
          <w:sz w:val="24"/>
          <w:szCs w:val="24"/>
          <w:lang w:val="lv-LV"/>
        </w:rPr>
        <w:t xml:space="preserve"> saistīta ar ilgtermiņa veselības riskiem, tostarp </w:t>
      </w:r>
      <w:r w:rsidR="00F553AC">
        <w:rPr>
          <w:rFonts w:ascii="Times New Roman" w:hAnsi="Times New Roman" w:cs="Times New Roman"/>
          <w:sz w:val="24"/>
          <w:szCs w:val="24"/>
          <w:lang w:val="lv-LV"/>
        </w:rPr>
        <w:t xml:space="preserve">aptaukošanos, kā arī </w:t>
      </w:r>
      <w:r w:rsidR="00191531" w:rsidRPr="007928F5">
        <w:rPr>
          <w:rFonts w:ascii="Times New Roman" w:hAnsi="Times New Roman" w:cs="Times New Roman"/>
          <w:sz w:val="24"/>
          <w:szCs w:val="24"/>
          <w:lang w:val="lv-LV"/>
        </w:rPr>
        <w:t xml:space="preserve">alerģisku un </w:t>
      </w:r>
      <w:proofErr w:type="spellStart"/>
      <w:r w:rsidR="00191531" w:rsidRPr="007928F5">
        <w:rPr>
          <w:rFonts w:ascii="Times New Roman" w:hAnsi="Times New Roman" w:cs="Times New Roman"/>
          <w:sz w:val="24"/>
          <w:szCs w:val="24"/>
          <w:lang w:val="lv-LV"/>
        </w:rPr>
        <w:t>autoimīnu</w:t>
      </w:r>
      <w:proofErr w:type="spellEnd"/>
      <w:r w:rsidR="00191531" w:rsidRPr="007928F5">
        <w:rPr>
          <w:rFonts w:ascii="Times New Roman" w:hAnsi="Times New Roman" w:cs="Times New Roman"/>
          <w:sz w:val="24"/>
          <w:szCs w:val="24"/>
          <w:lang w:val="lv-LV"/>
        </w:rPr>
        <w:t xml:space="preserve"> slimību attīstību</w:t>
      </w:r>
      <w:r w:rsidR="00F553AC" w:rsidRPr="007928F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C7B06">
        <w:rPr>
          <w:rFonts w:ascii="Times New Roman" w:hAnsi="Times New Roman" w:cs="Times New Roman"/>
          <w:sz w:val="24"/>
          <w:szCs w:val="24"/>
          <w:lang w:val="lv-LV"/>
        </w:rPr>
        <w:t>[</w:t>
      </w:r>
      <w:proofErr w:type="spellStart"/>
      <w:r w:rsidR="00DF0588">
        <w:rPr>
          <w:rFonts w:ascii="Times New Roman" w:hAnsi="Times New Roman" w:cs="Times New Roman"/>
          <w:sz w:val="24"/>
          <w:szCs w:val="24"/>
          <w:lang w:val="lv-LV"/>
        </w:rPr>
        <w:t>Duong</w:t>
      </w:r>
      <w:proofErr w:type="spellEnd"/>
      <w:r w:rsidR="00DF058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sz w:val="24"/>
          <w:szCs w:val="24"/>
          <w:lang w:val="lv-LV"/>
        </w:rPr>
        <w:t>et</w:t>
      </w:r>
      <w:proofErr w:type="spellEnd"/>
      <w:r w:rsidR="00DF058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sz w:val="24"/>
          <w:szCs w:val="24"/>
          <w:lang w:val="lv-LV"/>
        </w:rPr>
        <w:t>al</w:t>
      </w:r>
      <w:proofErr w:type="spellEnd"/>
      <w:r w:rsidR="00DF0588">
        <w:rPr>
          <w:rFonts w:ascii="Times New Roman" w:hAnsi="Times New Roman" w:cs="Times New Roman"/>
          <w:sz w:val="24"/>
          <w:szCs w:val="24"/>
          <w:lang w:val="lv-LV"/>
        </w:rPr>
        <w:t>, 2022</w:t>
      </w:r>
      <w:r w:rsidR="00DC7B06">
        <w:rPr>
          <w:rFonts w:ascii="Times New Roman" w:hAnsi="Times New Roman" w:cs="Times New Roman"/>
          <w:sz w:val="24"/>
          <w:szCs w:val="24"/>
          <w:lang w:val="lv-LV"/>
        </w:rPr>
        <w:t>]</w:t>
      </w:r>
      <w:r w:rsidR="00191531" w:rsidRPr="007928F5">
        <w:rPr>
          <w:rFonts w:ascii="Times New Roman" w:eastAsia="Times New Roman" w:hAnsi="Times New Roman" w:cs="Times New Roman"/>
          <w:color w:val="000000"/>
          <w:lang w:val="lv-LV" w:eastAsia="lv-LV"/>
        </w:rPr>
        <w:t>.</w:t>
      </w:r>
      <w:r w:rsidR="00191531" w:rsidRPr="0048236E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</w:t>
      </w:r>
      <w:r w:rsidR="00BB4DB2" w:rsidRPr="002D6E4E">
        <w:rPr>
          <w:rFonts w:ascii="Times New Roman" w:hAnsi="Times New Roman" w:cs="Times New Roman"/>
          <w:sz w:val="24"/>
          <w:szCs w:val="24"/>
          <w:lang w:val="lv-LV"/>
        </w:rPr>
        <w:t xml:space="preserve"> Viens no iespējamajiem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šo izmaiņu </w:t>
      </w:r>
      <w:r w:rsidR="00BB4DB2" w:rsidRPr="002D6E4E">
        <w:rPr>
          <w:rFonts w:ascii="Times New Roman" w:hAnsi="Times New Roman" w:cs="Times New Roman"/>
          <w:sz w:val="24"/>
          <w:szCs w:val="24"/>
          <w:lang w:val="lv-LV"/>
        </w:rPr>
        <w:t xml:space="preserve">patoģenētiskajiem mehānismiem ir antibiotiku radītās izmaiņas zarnu </w:t>
      </w:r>
      <w:proofErr w:type="spellStart"/>
      <w:r w:rsidR="00BB4DB2" w:rsidRPr="002D6E4E">
        <w:rPr>
          <w:rFonts w:ascii="Times New Roman" w:hAnsi="Times New Roman" w:cs="Times New Roman"/>
          <w:sz w:val="24"/>
          <w:szCs w:val="24"/>
          <w:lang w:val="lv-LV"/>
        </w:rPr>
        <w:t>mikrobiotā</w:t>
      </w:r>
      <w:proofErr w:type="spellEnd"/>
      <w:r w:rsidR="00BB4DB2" w:rsidRPr="002D6E4E">
        <w:rPr>
          <w:rFonts w:ascii="Times New Roman" w:hAnsi="Times New Roman" w:cs="Times New Roman"/>
          <w:sz w:val="24"/>
          <w:szCs w:val="24"/>
          <w:lang w:val="lv-LV"/>
        </w:rPr>
        <w:t>, kas samazina tās daudzveidību un ietekmē metabolītu, piemēram, īso ķēžu taukskābju ražošanu</w:t>
      </w:r>
      <w:r w:rsidR="0013028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C7B06">
        <w:rPr>
          <w:rFonts w:ascii="Times New Roman" w:hAnsi="Times New Roman" w:cs="Times New Roman"/>
          <w:sz w:val="24"/>
          <w:szCs w:val="24"/>
          <w:lang w:val="lv-LV"/>
        </w:rPr>
        <w:t>[</w:t>
      </w:r>
      <w:proofErr w:type="spellStart"/>
      <w:r w:rsidR="00DF0588">
        <w:rPr>
          <w:rFonts w:ascii="Times New Roman" w:hAnsi="Times New Roman" w:cs="Times New Roman"/>
          <w:sz w:val="24"/>
          <w:szCs w:val="24"/>
          <w:lang w:val="lv-LV"/>
        </w:rPr>
        <w:t>Korpela</w:t>
      </w:r>
      <w:proofErr w:type="spellEnd"/>
      <w:r w:rsidR="00DF058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sz w:val="24"/>
          <w:szCs w:val="24"/>
          <w:lang w:val="lv-LV"/>
        </w:rPr>
        <w:t>et</w:t>
      </w:r>
      <w:proofErr w:type="spellEnd"/>
      <w:r w:rsidR="00DF058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sz w:val="24"/>
          <w:szCs w:val="24"/>
          <w:lang w:val="lv-LV"/>
        </w:rPr>
        <w:t>al</w:t>
      </w:r>
      <w:proofErr w:type="spellEnd"/>
      <w:r w:rsidR="00DF0588">
        <w:rPr>
          <w:rFonts w:ascii="Times New Roman" w:hAnsi="Times New Roman" w:cs="Times New Roman"/>
          <w:sz w:val="24"/>
          <w:szCs w:val="24"/>
          <w:lang w:val="lv-LV"/>
        </w:rPr>
        <w:t>, 2016</w:t>
      </w:r>
      <w:r w:rsidR="00DC7B06">
        <w:rPr>
          <w:rFonts w:ascii="Times New Roman" w:hAnsi="Times New Roman" w:cs="Times New Roman"/>
          <w:sz w:val="24"/>
          <w:szCs w:val="24"/>
          <w:lang w:val="lv-LV"/>
        </w:rPr>
        <w:t>]</w:t>
      </w:r>
      <w:r w:rsidR="00BB4DB2" w:rsidRPr="002D6E4E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5C591D" w:rsidRPr="002D6E4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9369944" w14:textId="19268A07" w:rsidR="00ED1F09" w:rsidRDefault="006C4B71" w:rsidP="006137DF">
      <w:pPr>
        <w:pStyle w:val="Paraststmeklis"/>
        <w:shd w:val="clear" w:color="auto" w:fill="FFFFFF"/>
        <w:spacing w:before="240" w:beforeAutospacing="0" w:after="240" w:afterAutospacing="0"/>
        <w:rPr>
          <w:lang w:val="lv-LV"/>
        </w:rPr>
      </w:pPr>
      <w:r>
        <w:rPr>
          <w:lang w:val="lv-LV"/>
        </w:rPr>
        <w:t xml:space="preserve">Tādēļ svarīgi pievērst uzmanību atbildīgai antibakteriālai terapijai, </w:t>
      </w:r>
      <w:r w:rsidR="00ED1F09" w:rsidRPr="00391DBE">
        <w:rPr>
          <w:lang w:val="lv-LV"/>
        </w:rPr>
        <w:t>kā arī</w:t>
      </w:r>
      <w:r w:rsidR="00ED1F09" w:rsidRPr="00391DBE">
        <w:rPr>
          <w:rStyle w:val="apple-converted-space"/>
          <w:rFonts w:eastAsiaTheme="majorEastAsia"/>
          <w:lang w:val="lv-LV"/>
        </w:rPr>
        <w:t> </w:t>
      </w:r>
      <w:r w:rsidR="00ED1F09" w:rsidRPr="00391DBE">
        <w:rPr>
          <w:rStyle w:val="Izteiksmgs"/>
          <w:rFonts w:eastAsiaTheme="majorEastAsia"/>
          <w:lang w:val="lv-LV"/>
        </w:rPr>
        <w:t>pierādījumos balstīta</w:t>
      </w:r>
      <w:r w:rsidR="00ED1F09">
        <w:rPr>
          <w:rStyle w:val="Izteiksmgs"/>
          <w:rFonts w:eastAsiaTheme="majorEastAsia"/>
          <w:lang w:val="lv-LV"/>
        </w:rPr>
        <w:t>i</w:t>
      </w:r>
      <w:r w:rsidR="00ED1F09" w:rsidRPr="00391DBE">
        <w:rPr>
          <w:rStyle w:val="Izteiksmgs"/>
          <w:rFonts w:eastAsiaTheme="majorEastAsia"/>
          <w:lang w:val="lv-LV"/>
        </w:rPr>
        <w:t xml:space="preserve"> </w:t>
      </w:r>
      <w:proofErr w:type="spellStart"/>
      <w:r w:rsidR="00ED1F09" w:rsidRPr="00391DBE">
        <w:rPr>
          <w:rStyle w:val="Izteiksmgs"/>
          <w:rFonts w:eastAsiaTheme="majorEastAsia"/>
          <w:lang w:val="lv-LV"/>
        </w:rPr>
        <w:t>probiotiku</w:t>
      </w:r>
      <w:proofErr w:type="spellEnd"/>
      <w:r w:rsidR="00ED1F09" w:rsidRPr="00391DBE">
        <w:rPr>
          <w:rStyle w:val="Izteiksmgs"/>
          <w:rFonts w:eastAsiaTheme="majorEastAsia"/>
          <w:lang w:val="lv-LV"/>
        </w:rPr>
        <w:t xml:space="preserve"> lietošana</w:t>
      </w:r>
      <w:r w:rsidR="00CA6BF4">
        <w:rPr>
          <w:rStyle w:val="Izteiksmgs"/>
          <w:rFonts w:eastAsiaTheme="majorEastAsia"/>
          <w:lang w:val="lv-LV"/>
        </w:rPr>
        <w:t>i</w:t>
      </w:r>
      <w:r w:rsidR="00ED1F09">
        <w:rPr>
          <w:rStyle w:val="apple-converted-space"/>
          <w:rFonts w:eastAsiaTheme="majorEastAsia"/>
          <w:lang w:val="lv-LV"/>
        </w:rPr>
        <w:t xml:space="preserve">, </w:t>
      </w:r>
      <w:r>
        <w:rPr>
          <w:lang w:val="lv-LV"/>
        </w:rPr>
        <w:t xml:space="preserve">lai novērstu gan tādu nevēlamu blakusparādību kā AIC, gan ilglaicīgas izmaiņas zarnu trakta </w:t>
      </w:r>
      <w:proofErr w:type="spellStart"/>
      <w:r>
        <w:rPr>
          <w:lang w:val="lv-LV"/>
        </w:rPr>
        <w:t>mikrobiotā</w:t>
      </w:r>
      <w:proofErr w:type="spellEnd"/>
      <w:r>
        <w:rPr>
          <w:lang w:val="lv-LV"/>
        </w:rPr>
        <w:t>.</w:t>
      </w:r>
    </w:p>
    <w:p w14:paraId="1A87837A" w14:textId="77777777" w:rsidR="00BB4DB2" w:rsidRDefault="00BB4DB2" w:rsidP="00EF6F7A">
      <w:pPr>
        <w:pStyle w:val="Virsraksts2"/>
        <w:rPr>
          <w:rFonts w:ascii="Times New Roman" w:hAnsi="Times New Roman" w:cs="Times New Roman"/>
          <w:sz w:val="22"/>
          <w:szCs w:val="22"/>
          <w:lang w:val="lv-LV"/>
        </w:rPr>
      </w:pPr>
      <w:bookmarkStart w:id="13" w:name="_Toc206573733"/>
    </w:p>
    <w:p w14:paraId="3AF6B684" w14:textId="688707C3" w:rsidR="00EF25E3" w:rsidRPr="000803F8" w:rsidRDefault="006D3299" w:rsidP="00EF25E3">
      <w:pPr>
        <w:pStyle w:val="Virsraksts2"/>
        <w:rPr>
          <w:rFonts w:ascii="Times New Roman" w:hAnsi="Times New Roman" w:cs="Times New Roman"/>
          <w:lang w:val="lv-LV"/>
        </w:rPr>
      </w:pPr>
      <w:bookmarkStart w:id="14" w:name="_Toc206573738"/>
      <w:bookmarkStart w:id="15" w:name="_Toc210136830"/>
      <w:bookmarkStart w:id="16" w:name="_Toc214625079"/>
      <w:r>
        <w:rPr>
          <w:rFonts w:ascii="Times New Roman" w:hAnsi="Times New Roman" w:cs="Times New Roman"/>
          <w:lang w:val="lv-LV"/>
        </w:rPr>
        <w:t xml:space="preserve">Zarnu </w:t>
      </w:r>
      <w:proofErr w:type="spellStart"/>
      <w:r>
        <w:rPr>
          <w:rFonts w:ascii="Times New Roman" w:hAnsi="Times New Roman" w:cs="Times New Roman"/>
          <w:lang w:val="lv-LV"/>
        </w:rPr>
        <w:t>m</w:t>
      </w:r>
      <w:r w:rsidR="00EF25E3" w:rsidRPr="000803F8">
        <w:rPr>
          <w:rFonts w:ascii="Times New Roman" w:hAnsi="Times New Roman" w:cs="Times New Roman"/>
          <w:lang w:val="lv-LV"/>
        </w:rPr>
        <w:t>ikrobiotas</w:t>
      </w:r>
      <w:proofErr w:type="spellEnd"/>
      <w:r w:rsidR="00EF25E3" w:rsidRPr="000803F8">
        <w:rPr>
          <w:rFonts w:ascii="Times New Roman" w:hAnsi="Times New Roman" w:cs="Times New Roman"/>
          <w:lang w:val="lv-LV"/>
        </w:rPr>
        <w:t xml:space="preserve"> izmaiņas pēc </w:t>
      </w:r>
      <w:bookmarkEnd w:id="14"/>
      <w:bookmarkEnd w:id="15"/>
      <w:r>
        <w:rPr>
          <w:rFonts w:ascii="Times New Roman" w:hAnsi="Times New Roman" w:cs="Times New Roman"/>
          <w:lang w:val="lv-LV"/>
        </w:rPr>
        <w:t>antibakteriālas terapijas</w:t>
      </w:r>
      <w:bookmarkEnd w:id="16"/>
    </w:p>
    <w:p w14:paraId="25C4BB13" w14:textId="2B1F5010" w:rsidR="00EF25E3" w:rsidRPr="000803F8" w:rsidRDefault="00EF25E3" w:rsidP="00EF25E3">
      <w:pPr>
        <w:pStyle w:val="Paraststmeklis"/>
        <w:shd w:val="clear" w:color="auto" w:fill="FFFFFF"/>
        <w:spacing w:before="240" w:beforeAutospacing="0" w:after="240" w:afterAutospacing="0"/>
        <w:rPr>
          <w:color w:val="1B1B1B"/>
          <w:lang w:val="lv-LV"/>
        </w:rPr>
      </w:pPr>
      <w:r w:rsidRPr="000803F8">
        <w:rPr>
          <w:color w:val="1B1B1B"/>
          <w:lang w:val="lv-LV"/>
        </w:rPr>
        <w:t xml:space="preserve">Antibakteriālās terapijas ietekme uz zarnu </w:t>
      </w:r>
      <w:proofErr w:type="spellStart"/>
      <w:r w:rsidRPr="000803F8">
        <w:rPr>
          <w:color w:val="1B1B1B"/>
          <w:lang w:val="lv-LV"/>
        </w:rPr>
        <w:t>mikrobiotu</w:t>
      </w:r>
      <w:proofErr w:type="spellEnd"/>
      <w:r w:rsidRPr="000803F8">
        <w:rPr>
          <w:color w:val="1B1B1B"/>
          <w:lang w:val="lv-LV"/>
        </w:rPr>
        <w:t xml:space="preserve"> bērniem ir sarežģīta– tā izraisa straujas izmaiņas </w:t>
      </w:r>
      <w:proofErr w:type="spellStart"/>
      <w:r w:rsidRPr="000803F8">
        <w:rPr>
          <w:color w:val="1B1B1B"/>
          <w:lang w:val="lv-LV"/>
        </w:rPr>
        <w:t>mikrobiotas</w:t>
      </w:r>
      <w:proofErr w:type="spellEnd"/>
      <w:r w:rsidRPr="000803F8">
        <w:rPr>
          <w:color w:val="1B1B1B"/>
          <w:lang w:val="lv-LV"/>
        </w:rPr>
        <w:t xml:space="preserve"> sastāvā </w:t>
      </w:r>
      <w:r w:rsidR="0069612E">
        <w:rPr>
          <w:color w:val="1B1B1B"/>
          <w:lang w:val="lv-LV"/>
        </w:rPr>
        <w:t>terapijas laikā un īsi pēc tās</w:t>
      </w:r>
      <w:r w:rsidR="006137DF">
        <w:rPr>
          <w:color w:val="1B1B1B"/>
          <w:lang w:val="lv-LV"/>
        </w:rPr>
        <w:t xml:space="preserve"> [</w:t>
      </w:r>
      <w:proofErr w:type="spellStart"/>
      <w:r w:rsidR="00DF0588">
        <w:rPr>
          <w:color w:val="1B1B1B"/>
          <w:lang w:val="lv-LV"/>
        </w:rPr>
        <w:t>Zimmermann</w:t>
      </w:r>
      <w:proofErr w:type="spellEnd"/>
      <w:r w:rsidR="00DF0588">
        <w:rPr>
          <w:color w:val="1B1B1B"/>
          <w:lang w:val="lv-LV"/>
        </w:rPr>
        <w:t xml:space="preserve"> </w:t>
      </w:r>
      <w:proofErr w:type="spellStart"/>
      <w:r w:rsidR="00DF0588">
        <w:rPr>
          <w:color w:val="1B1B1B"/>
          <w:lang w:val="lv-LV"/>
        </w:rPr>
        <w:t>et</w:t>
      </w:r>
      <w:proofErr w:type="spellEnd"/>
      <w:r w:rsidR="00DF0588">
        <w:rPr>
          <w:color w:val="1B1B1B"/>
          <w:lang w:val="lv-LV"/>
        </w:rPr>
        <w:t xml:space="preserve"> </w:t>
      </w:r>
      <w:proofErr w:type="spellStart"/>
      <w:r w:rsidR="00DF0588">
        <w:rPr>
          <w:color w:val="1B1B1B"/>
          <w:lang w:val="lv-LV"/>
        </w:rPr>
        <w:t>al</w:t>
      </w:r>
      <w:proofErr w:type="spellEnd"/>
      <w:r w:rsidR="00DF0588">
        <w:rPr>
          <w:color w:val="1B1B1B"/>
          <w:lang w:val="lv-LV"/>
        </w:rPr>
        <w:t>, 2019</w:t>
      </w:r>
      <w:r w:rsidR="006137DF">
        <w:rPr>
          <w:color w:val="1B1B1B"/>
          <w:lang w:val="lv-LV"/>
        </w:rPr>
        <w:t>]</w:t>
      </w:r>
      <w:r w:rsidR="0069612E">
        <w:rPr>
          <w:color w:val="1B1B1B"/>
          <w:lang w:val="lv-LV"/>
        </w:rPr>
        <w:t xml:space="preserve">. Lai gan veselīgai </w:t>
      </w:r>
      <w:proofErr w:type="spellStart"/>
      <w:r w:rsidR="0069612E">
        <w:rPr>
          <w:color w:val="1B1B1B"/>
          <w:lang w:val="lv-LV"/>
        </w:rPr>
        <w:t>mikrobiotai</w:t>
      </w:r>
      <w:proofErr w:type="spellEnd"/>
      <w:r w:rsidR="0069612E">
        <w:rPr>
          <w:color w:val="1B1B1B"/>
          <w:lang w:val="lv-LV"/>
        </w:rPr>
        <w:t xml:space="preserve"> ir tendence </w:t>
      </w:r>
      <w:r w:rsidR="00F432E3">
        <w:rPr>
          <w:color w:val="1B1B1B"/>
          <w:lang w:val="lv-LV"/>
        </w:rPr>
        <w:t>atjaunoties</w:t>
      </w:r>
      <w:r w:rsidR="0069612E">
        <w:rPr>
          <w:color w:val="1B1B1B"/>
          <w:lang w:val="lv-LV"/>
        </w:rPr>
        <w:t xml:space="preserve">, izmaiņas baktēriju sastāvā </w:t>
      </w:r>
      <w:r w:rsidRPr="000803F8">
        <w:rPr>
          <w:color w:val="1B1B1B"/>
          <w:lang w:val="lv-LV"/>
        </w:rPr>
        <w:t>var saglabāties vairākas nedēļas vai pat mēnešus</w:t>
      </w:r>
      <w:r>
        <w:rPr>
          <w:color w:val="1B1B1B"/>
          <w:lang w:val="lv-LV"/>
        </w:rPr>
        <w:t xml:space="preserve"> pēc terapijas</w:t>
      </w:r>
      <w:r w:rsidRPr="000803F8">
        <w:rPr>
          <w:color w:val="1B1B1B"/>
          <w:lang w:val="lv-LV"/>
        </w:rPr>
        <w:t>.</w:t>
      </w:r>
      <w:r>
        <w:rPr>
          <w:color w:val="1B1B1B"/>
          <w:lang w:val="lv-LV"/>
        </w:rPr>
        <w:t xml:space="preserve"> </w:t>
      </w:r>
    </w:p>
    <w:p w14:paraId="07498892" w14:textId="1A5A8176" w:rsidR="00EF25E3" w:rsidRPr="000803F8" w:rsidRDefault="00EF25E3" w:rsidP="00EF25E3">
      <w:pPr>
        <w:pStyle w:val="Paraststmeklis"/>
        <w:shd w:val="clear" w:color="auto" w:fill="FFFFFF"/>
        <w:spacing w:before="240" w:beforeAutospacing="0" w:after="240" w:afterAutospacing="0"/>
        <w:rPr>
          <w:color w:val="1B1B1B"/>
          <w:lang w:val="lv-LV"/>
        </w:rPr>
      </w:pPr>
      <w:r w:rsidRPr="00282019">
        <w:rPr>
          <w:color w:val="1B1B1B"/>
          <w:lang w:val="lv-LV"/>
        </w:rPr>
        <w:t>Sistemātisk</w:t>
      </w:r>
      <w:r w:rsidR="00F432E3">
        <w:rPr>
          <w:color w:val="1B1B1B"/>
          <w:lang w:val="lv-LV"/>
        </w:rPr>
        <w:t>os</w:t>
      </w:r>
      <w:r w:rsidRPr="00282019">
        <w:rPr>
          <w:color w:val="1B1B1B"/>
          <w:lang w:val="lv-LV"/>
        </w:rPr>
        <w:t xml:space="preserve"> pārskat</w:t>
      </w:r>
      <w:r w:rsidR="00F432E3">
        <w:rPr>
          <w:color w:val="1B1B1B"/>
          <w:lang w:val="lv-LV"/>
        </w:rPr>
        <w:t>os</w:t>
      </w:r>
      <w:r w:rsidRPr="00282019">
        <w:rPr>
          <w:color w:val="1B1B1B"/>
          <w:lang w:val="lv-LV"/>
        </w:rPr>
        <w:t xml:space="preserve"> </w:t>
      </w:r>
      <w:r w:rsidR="00F432E3">
        <w:rPr>
          <w:color w:val="1B1B1B"/>
          <w:lang w:val="lv-LV"/>
        </w:rPr>
        <w:t>[</w:t>
      </w:r>
      <w:proofErr w:type="spellStart"/>
      <w:r w:rsidR="00DF0588">
        <w:rPr>
          <w:color w:val="1B1B1B"/>
          <w:lang w:val="lv-LV"/>
        </w:rPr>
        <w:t>Wurm</w:t>
      </w:r>
      <w:proofErr w:type="spellEnd"/>
      <w:r w:rsidR="00DF0588">
        <w:rPr>
          <w:color w:val="1B1B1B"/>
          <w:lang w:val="lv-LV"/>
        </w:rPr>
        <w:t xml:space="preserve"> </w:t>
      </w:r>
      <w:proofErr w:type="spellStart"/>
      <w:r w:rsidR="00DF0588">
        <w:rPr>
          <w:color w:val="1B1B1B"/>
          <w:lang w:val="lv-LV"/>
        </w:rPr>
        <w:t>et</w:t>
      </w:r>
      <w:proofErr w:type="spellEnd"/>
      <w:r w:rsidR="00DF0588">
        <w:rPr>
          <w:color w:val="1B1B1B"/>
          <w:lang w:val="lv-LV"/>
        </w:rPr>
        <w:t xml:space="preserve"> </w:t>
      </w:r>
      <w:proofErr w:type="spellStart"/>
      <w:r w:rsidR="00DF0588">
        <w:rPr>
          <w:color w:val="1B1B1B"/>
          <w:lang w:val="lv-LV"/>
        </w:rPr>
        <w:t>al</w:t>
      </w:r>
      <w:proofErr w:type="spellEnd"/>
      <w:r w:rsidR="00DF0588">
        <w:rPr>
          <w:color w:val="1B1B1B"/>
          <w:lang w:val="lv-LV"/>
        </w:rPr>
        <w:t>, 2024</w:t>
      </w:r>
      <w:r w:rsidR="00F432E3">
        <w:rPr>
          <w:color w:val="1B1B1B"/>
          <w:lang w:val="lv-LV"/>
        </w:rPr>
        <w:t xml:space="preserve">] </w:t>
      </w:r>
      <w:r w:rsidR="0069612E" w:rsidRPr="00282019">
        <w:rPr>
          <w:color w:val="1B1B1B"/>
          <w:lang w:val="lv-LV"/>
        </w:rPr>
        <w:t>par</w:t>
      </w:r>
      <w:r w:rsidR="00F432E3">
        <w:rPr>
          <w:color w:val="1B1B1B"/>
          <w:lang w:val="lv-LV"/>
        </w:rPr>
        <w:t xml:space="preserve"> galvenajām</w:t>
      </w:r>
      <w:r w:rsidR="0069612E" w:rsidRPr="00282019">
        <w:rPr>
          <w:color w:val="1B1B1B"/>
          <w:lang w:val="lv-LV"/>
        </w:rPr>
        <w:t xml:space="preserve"> </w:t>
      </w:r>
      <w:r w:rsidR="003B6D36">
        <w:rPr>
          <w:color w:val="1B1B1B"/>
          <w:lang w:val="lv-LV"/>
        </w:rPr>
        <w:t xml:space="preserve">zarnu </w:t>
      </w:r>
      <w:proofErr w:type="spellStart"/>
      <w:r w:rsidR="0069612E" w:rsidRPr="00282019">
        <w:rPr>
          <w:color w:val="1B1B1B"/>
          <w:lang w:val="lv-LV"/>
        </w:rPr>
        <w:t>mikrobiotas</w:t>
      </w:r>
      <w:proofErr w:type="spellEnd"/>
      <w:r w:rsidR="0069612E" w:rsidRPr="00282019">
        <w:rPr>
          <w:color w:val="1B1B1B"/>
          <w:lang w:val="lv-LV"/>
        </w:rPr>
        <w:t xml:space="preserve"> izmaiņām pēc antibakteriālas terapijas</w:t>
      </w:r>
      <w:r w:rsidR="00F432E3">
        <w:rPr>
          <w:color w:val="1B1B1B"/>
          <w:lang w:val="lv-LV"/>
        </w:rPr>
        <w:t xml:space="preserve"> secināts, ka</w:t>
      </w:r>
      <w:r w:rsidRPr="000803F8">
        <w:rPr>
          <w:color w:val="1B1B1B"/>
          <w:lang w:val="lv-LV"/>
        </w:rPr>
        <w:t xml:space="preserve"> antib</w:t>
      </w:r>
      <w:r w:rsidR="0069612E">
        <w:rPr>
          <w:color w:val="1B1B1B"/>
          <w:lang w:val="lv-LV"/>
        </w:rPr>
        <w:t>akteriāla terapija</w:t>
      </w:r>
      <w:r w:rsidRPr="000803F8">
        <w:rPr>
          <w:color w:val="1B1B1B"/>
          <w:lang w:val="lv-LV"/>
        </w:rPr>
        <w:t xml:space="preserve"> </w:t>
      </w:r>
      <w:r w:rsidR="003B6D36">
        <w:rPr>
          <w:color w:val="1B1B1B"/>
          <w:lang w:val="lv-LV"/>
        </w:rPr>
        <w:t xml:space="preserve">pārsvarā </w:t>
      </w:r>
      <w:r w:rsidRPr="000803F8">
        <w:rPr>
          <w:color w:val="1B1B1B"/>
          <w:lang w:val="lv-LV"/>
        </w:rPr>
        <w:t>izraisa:</w:t>
      </w:r>
    </w:p>
    <w:p w14:paraId="2B08F326" w14:textId="77777777" w:rsidR="00EF25E3" w:rsidRPr="0041080D" w:rsidRDefault="00EF25E3" w:rsidP="00EF25E3">
      <w:pPr>
        <w:pStyle w:val="Paraststmeklis"/>
        <w:numPr>
          <w:ilvl w:val="0"/>
          <w:numId w:val="30"/>
        </w:numPr>
        <w:shd w:val="clear" w:color="auto" w:fill="FFFFFF"/>
        <w:spacing w:before="240" w:beforeAutospacing="0" w:after="240" w:afterAutospacing="0"/>
        <w:rPr>
          <w:color w:val="1B1B1B"/>
        </w:rPr>
      </w:pPr>
      <w:proofErr w:type="spellStart"/>
      <w:r w:rsidRPr="0041080D">
        <w:rPr>
          <w:color w:val="1B1B1B"/>
        </w:rPr>
        <w:t>mikrobiotas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daudzveidības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samazināšanos</w:t>
      </w:r>
      <w:proofErr w:type="spellEnd"/>
      <w:r w:rsidRPr="0041080D">
        <w:rPr>
          <w:color w:val="1B1B1B"/>
        </w:rPr>
        <w:t>,</w:t>
      </w:r>
    </w:p>
    <w:p w14:paraId="1164D5CB" w14:textId="77777777" w:rsidR="00EF25E3" w:rsidRPr="0041080D" w:rsidRDefault="00EF25E3" w:rsidP="00EF25E3">
      <w:pPr>
        <w:pStyle w:val="Paraststmeklis"/>
        <w:numPr>
          <w:ilvl w:val="0"/>
          <w:numId w:val="30"/>
        </w:numPr>
        <w:shd w:val="clear" w:color="auto" w:fill="FFFFFF"/>
        <w:spacing w:before="240" w:beforeAutospacing="0" w:after="240" w:afterAutospacing="0"/>
        <w:rPr>
          <w:color w:val="1B1B1B"/>
        </w:rPr>
      </w:pPr>
      <w:proofErr w:type="spellStart"/>
      <w:r w:rsidRPr="0041080D">
        <w:rPr>
          <w:color w:val="1B1B1B"/>
        </w:rPr>
        <w:t>anaerobo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dominējošo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dzimtu</w:t>
      </w:r>
      <w:proofErr w:type="spellEnd"/>
      <w:r w:rsidRPr="0041080D">
        <w:rPr>
          <w:color w:val="1B1B1B"/>
        </w:rPr>
        <w:t xml:space="preserve"> (</w:t>
      </w:r>
      <w:proofErr w:type="spellStart"/>
      <w:r w:rsidRPr="0041080D">
        <w:rPr>
          <w:color w:val="1B1B1B"/>
        </w:rPr>
        <w:t>īpaši</w:t>
      </w:r>
      <w:proofErr w:type="spellEnd"/>
      <w:r w:rsidRPr="0041080D">
        <w:rPr>
          <w:color w:val="1B1B1B"/>
        </w:rPr>
        <w:t xml:space="preserve"> </w:t>
      </w:r>
      <w:proofErr w:type="spellStart"/>
      <w:r w:rsidRPr="003B6D36">
        <w:rPr>
          <w:i/>
          <w:iCs/>
          <w:color w:val="1B1B1B"/>
        </w:rPr>
        <w:t>Bifidobacteriaceae</w:t>
      </w:r>
      <w:proofErr w:type="spellEnd"/>
      <w:r w:rsidRPr="0041080D">
        <w:rPr>
          <w:color w:val="1B1B1B"/>
        </w:rPr>
        <w:t xml:space="preserve"> un </w:t>
      </w:r>
      <w:proofErr w:type="spellStart"/>
      <w:r w:rsidRPr="003B6D36">
        <w:rPr>
          <w:i/>
          <w:iCs/>
          <w:color w:val="1B1B1B"/>
        </w:rPr>
        <w:t>Lachnospiraceae</w:t>
      </w:r>
      <w:proofErr w:type="spellEnd"/>
      <w:r w:rsidRPr="0041080D">
        <w:rPr>
          <w:color w:val="1B1B1B"/>
        </w:rPr>
        <w:t xml:space="preserve">) </w:t>
      </w:r>
      <w:proofErr w:type="spellStart"/>
      <w:r w:rsidRPr="0041080D">
        <w:rPr>
          <w:color w:val="1B1B1B"/>
        </w:rPr>
        <w:t>īpatsvara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kritumu</w:t>
      </w:r>
      <w:proofErr w:type="spellEnd"/>
      <w:r w:rsidRPr="0041080D">
        <w:rPr>
          <w:color w:val="1B1B1B"/>
        </w:rPr>
        <w:t>,</w:t>
      </w:r>
    </w:p>
    <w:p w14:paraId="646A902E" w14:textId="77777777" w:rsidR="00EF25E3" w:rsidRPr="0041080D" w:rsidRDefault="00EF25E3" w:rsidP="00EF25E3">
      <w:pPr>
        <w:pStyle w:val="Paraststmeklis"/>
        <w:numPr>
          <w:ilvl w:val="0"/>
          <w:numId w:val="30"/>
        </w:numPr>
        <w:shd w:val="clear" w:color="auto" w:fill="FFFFFF"/>
        <w:spacing w:before="240" w:beforeAutospacing="0" w:after="240" w:afterAutospacing="0"/>
        <w:rPr>
          <w:color w:val="1B1B1B"/>
        </w:rPr>
      </w:pPr>
      <w:r w:rsidRPr="003B6D36">
        <w:rPr>
          <w:i/>
          <w:iCs/>
          <w:color w:val="1B1B1B"/>
        </w:rPr>
        <w:t>Enterobacteriaceae</w:t>
      </w:r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relatīva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īpatsvara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palielināšanos</w:t>
      </w:r>
      <w:proofErr w:type="spellEnd"/>
      <w:r w:rsidRPr="0041080D">
        <w:rPr>
          <w:color w:val="1B1B1B"/>
        </w:rPr>
        <w:t>,</w:t>
      </w:r>
    </w:p>
    <w:p w14:paraId="672A20D5" w14:textId="67630808" w:rsidR="00EF25E3" w:rsidRPr="0041080D" w:rsidRDefault="00EF25E3" w:rsidP="00EF25E3">
      <w:pPr>
        <w:pStyle w:val="Paraststmeklis"/>
        <w:numPr>
          <w:ilvl w:val="0"/>
          <w:numId w:val="30"/>
        </w:numPr>
        <w:shd w:val="clear" w:color="auto" w:fill="FFFFFF"/>
        <w:spacing w:before="240" w:beforeAutospacing="0" w:after="240" w:afterAutospacing="0"/>
        <w:rPr>
          <w:color w:val="1B1B1B"/>
        </w:rPr>
      </w:pPr>
      <w:proofErr w:type="spellStart"/>
      <w:r w:rsidRPr="0041080D">
        <w:rPr>
          <w:color w:val="1B1B1B"/>
        </w:rPr>
        <w:t>īso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ķēžu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taukskābju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producē</w:t>
      </w:r>
      <w:r w:rsidR="006137DF">
        <w:rPr>
          <w:color w:val="1B1B1B"/>
        </w:rPr>
        <w:t>jošu</w:t>
      </w:r>
      <w:proofErr w:type="spellEnd"/>
      <w:r w:rsidR="006137DF">
        <w:rPr>
          <w:color w:val="1B1B1B"/>
        </w:rPr>
        <w:t xml:space="preserve"> </w:t>
      </w:r>
      <w:proofErr w:type="spellStart"/>
      <w:r w:rsidR="006137DF">
        <w:rPr>
          <w:color w:val="1B1B1B"/>
        </w:rPr>
        <w:t>sugu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samazināšanos</w:t>
      </w:r>
      <w:proofErr w:type="spellEnd"/>
      <w:r w:rsidRPr="0041080D">
        <w:rPr>
          <w:color w:val="1B1B1B"/>
        </w:rPr>
        <w:t>,</w:t>
      </w:r>
    </w:p>
    <w:p w14:paraId="563A6957" w14:textId="63DD2653" w:rsidR="00EF25E3" w:rsidRPr="0041080D" w:rsidRDefault="00EF25E3" w:rsidP="00EF25E3">
      <w:pPr>
        <w:pStyle w:val="Paraststmeklis"/>
        <w:numPr>
          <w:ilvl w:val="0"/>
          <w:numId w:val="30"/>
        </w:numPr>
        <w:shd w:val="clear" w:color="auto" w:fill="FFFFFF"/>
        <w:spacing w:before="240" w:beforeAutospacing="0" w:after="240" w:afterAutospacing="0"/>
        <w:rPr>
          <w:color w:val="1B1B1B"/>
        </w:rPr>
      </w:pPr>
      <w:proofErr w:type="spellStart"/>
      <w:r w:rsidRPr="0041080D">
        <w:rPr>
          <w:color w:val="1B1B1B"/>
        </w:rPr>
        <w:t>izmaiņas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žultsskābju</w:t>
      </w:r>
      <w:proofErr w:type="spellEnd"/>
      <w:r w:rsidRPr="0041080D">
        <w:rPr>
          <w:color w:val="1B1B1B"/>
        </w:rPr>
        <w:t xml:space="preserve"> </w:t>
      </w:r>
      <w:proofErr w:type="spellStart"/>
      <w:r w:rsidR="00282019">
        <w:rPr>
          <w:color w:val="1B1B1B"/>
        </w:rPr>
        <w:t>metabolism</w:t>
      </w:r>
      <w:r w:rsidR="00F432E3">
        <w:rPr>
          <w:color w:val="1B1B1B"/>
        </w:rPr>
        <w:t>ā</w:t>
      </w:r>
      <w:proofErr w:type="spellEnd"/>
      <w:r w:rsidR="00282019">
        <w:rPr>
          <w:color w:val="1B1B1B"/>
        </w:rPr>
        <w:t>.</w:t>
      </w:r>
      <w:r w:rsidRPr="0041080D">
        <w:rPr>
          <w:color w:val="1B1B1B"/>
        </w:rPr>
        <w:t> </w:t>
      </w:r>
    </w:p>
    <w:p w14:paraId="19E7FFE8" w14:textId="7BD97593" w:rsidR="00EF25E3" w:rsidRPr="0041080D" w:rsidRDefault="00914800" w:rsidP="00EF25E3">
      <w:pPr>
        <w:pStyle w:val="Paraststmeklis"/>
        <w:shd w:val="clear" w:color="auto" w:fill="FFFFFF"/>
        <w:spacing w:before="240" w:beforeAutospacing="0" w:after="240" w:afterAutospacing="0"/>
        <w:rPr>
          <w:color w:val="1B1B1B"/>
        </w:rPr>
      </w:pPr>
      <w:proofErr w:type="spellStart"/>
      <w:r>
        <w:rPr>
          <w:color w:val="1B1B1B"/>
        </w:rPr>
        <w:t>Galvenā</w:t>
      </w:r>
      <w:r w:rsidR="00F1743B">
        <w:rPr>
          <w:color w:val="1B1B1B"/>
        </w:rPr>
        <w:t>s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izmaiņas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baktēriju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dzimutu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relatīvajā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daudzumā</w:t>
      </w:r>
      <w:proofErr w:type="spellEnd"/>
      <w:r>
        <w:rPr>
          <w:color w:val="1B1B1B"/>
        </w:rPr>
        <w:t xml:space="preserve"> </w:t>
      </w:r>
      <w:proofErr w:type="spellStart"/>
      <w:r w:rsidR="00F1743B">
        <w:rPr>
          <w:color w:val="1B1B1B"/>
        </w:rPr>
        <w:t>pieaugušo</w:t>
      </w:r>
      <w:proofErr w:type="spellEnd"/>
      <w:r w:rsidR="00F1743B">
        <w:rPr>
          <w:color w:val="1B1B1B"/>
        </w:rPr>
        <w:t xml:space="preserve"> </w:t>
      </w:r>
      <w:proofErr w:type="spellStart"/>
      <w:r w:rsidR="00F1743B">
        <w:rPr>
          <w:color w:val="1B1B1B"/>
        </w:rPr>
        <w:t>populācijā</w:t>
      </w:r>
      <w:proofErr w:type="spellEnd"/>
      <w:r w:rsidR="00F1743B">
        <w:rPr>
          <w:color w:val="1B1B1B"/>
        </w:rPr>
        <w:t xml:space="preserve"> </w:t>
      </w:r>
      <w:proofErr w:type="spellStart"/>
      <w:r>
        <w:rPr>
          <w:color w:val="1B1B1B"/>
        </w:rPr>
        <w:t>parādītas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tabulā</w:t>
      </w:r>
      <w:proofErr w:type="spellEnd"/>
      <w:r>
        <w:rPr>
          <w:color w:val="1B1B1B"/>
        </w:rPr>
        <w:t xml:space="preserve"> 1. </w:t>
      </w:r>
      <w:proofErr w:type="spellStart"/>
      <w:r w:rsidR="00EF25E3" w:rsidRPr="0041080D">
        <w:rPr>
          <w:color w:val="1B1B1B"/>
        </w:rPr>
        <w:t>Šīs</w:t>
      </w:r>
      <w:proofErr w:type="spellEnd"/>
      <w:r w:rsidR="00EF25E3" w:rsidRPr="0041080D">
        <w:rPr>
          <w:color w:val="1B1B1B"/>
        </w:rPr>
        <w:t xml:space="preserve"> </w:t>
      </w:r>
      <w:proofErr w:type="spellStart"/>
      <w:r w:rsidR="00EF25E3" w:rsidRPr="0041080D">
        <w:rPr>
          <w:color w:val="1B1B1B"/>
        </w:rPr>
        <w:t>izmaiņas</w:t>
      </w:r>
      <w:proofErr w:type="spellEnd"/>
      <w:r w:rsidR="00EF25E3" w:rsidRPr="0041080D">
        <w:rPr>
          <w:color w:val="1B1B1B"/>
        </w:rPr>
        <w:t xml:space="preserve"> </w:t>
      </w:r>
      <w:proofErr w:type="spellStart"/>
      <w:r w:rsidR="00EF25E3" w:rsidRPr="0041080D">
        <w:rPr>
          <w:color w:val="1B1B1B"/>
        </w:rPr>
        <w:t>saistītas</w:t>
      </w:r>
      <w:proofErr w:type="spellEnd"/>
      <w:r w:rsidR="00EF25E3" w:rsidRPr="0041080D">
        <w:rPr>
          <w:color w:val="1B1B1B"/>
        </w:rPr>
        <w:t xml:space="preserve"> </w:t>
      </w:r>
      <w:proofErr w:type="spellStart"/>
      <w:r w:rsidR="00EF25E3" w:rsidRPr="0041080D">
        <w:rPr>
          <w:color w:val="1B1B1B"/>
        </w:rPr>
        <w:t>ar</w:t>
      </w:r>
      <w:proofErr w:type="spellEnd"/>
      <w:r w:rsidR="00EF25E3" w:rsidRPr="0041080D">
        <w:rPr>
          <w:color w:val="1B1B1B"/>
        </w:rPr>
        <w:t xml:space="preserve"> </w:t>
      </w:r>
      <w:proofErr w:type="spellStart"/>
      <w:r w:rsidR="00EF25E3" w:rsidRPr="0041080D">
        <w:rPr>
          <w:color w:val="1B1B1B"/>
        </w:rPr>
        <w:t>paaugstinātu</w:t>
      </w:r>
      <w:proofErr w:type="spellEnd"/>
      <w:r w:rsidR="00EF25E3" w:rsidRPr="0041080D">
        <w:rPr>
          <w:color w:val="1B1B1B"/>
        </w:rPr>
        <w:t xml:space="preserve"> </w:t>
      </w:r>
      <w:proofErr w:type="spellStart"/>
      <w:r w:rsidR="00EF25E3" w:rsidRPr="0041080D">
        <w:rPr>
          <w:color w:val="1B1B1B"/>
        </w:rPr>
        <w:t>oportūnistu</w:t>
      </w:r>
      <w:proofErr w:type="spellEnd"/>
      <w:r w:rsidR="00EF25E3" w:rsidRPr="0041080D">
        <w:rPr>
          <w:color w:val="1B1B1B"/>
        </w:rPr>
        <w:t xml:space="preserve"> (</w:t>
      </w:r>
      <w:proofErr w:type="spellStart"/>
      <w:r w:rsidR="00EF25E3" w:rsidRPr="0041080D">
        <w:rPr>
          <w:color w:val="1B1B1B"/>
        </w:rPr>
        <w:t>piem</w:t>
      </w:r>
      <w:proofErr w:type="spellEnd"/>
      <w:r w:rsidR="00EF25E3" w:rsidRPr="0041080D">
        <w:rPr>
          <w:color w:val="1B1B1B"/>
        </w:rPr>
        <w:t>., </w:t>
      </w:r>
      <w:proofErr w:type="spellStart"/>
      <w:proofErr w:type="gramStart"/>
      <w:r w:rsidR="00EF25E3" w:rsidRPr="0041080D">
        <w:rPr>
          <w:i/>
          <w:iCs/>
          <w:color w:val="1B1B1B"/>
        </w:rPr>
        <w:t>Cl</w:t>
      </w:r>
      <w:r w:rsidR="00282019">
        <w:rPr>
          <w:i/>
          <w:iCs/>
          <w:color w:val="1B1B1B"/>
        </w:rPr>
        <w:t>.</w:t>
      </w:r>
      <w:r w:rsidR="00EF25E3" w:rsidRPr="0041080D">
        <w:rPr>
          <w:i/>
          <w:iCs/>
          <w:color w:val="1B1B1B"/>
        </w:rPr>
        <w:t>difficile</w:t>
      </w:r>
      <w:proofErr w:type="spellEnd"/>
      <w:proofErr w:type="gramEnd"/>
      <w:r w:rsidR="00EF25E3" w:rsidRPr="0041080D">
        <w:rPr>
          <w:color w:val="1B1B1B"/>
        </w:rPr>
        <w:t xml:space="preserve">) </w:t>
      </w:r>
      <w:proofErr w:type="spellStart"/>
      <w:r w:rsidR="00EF25E3" w:rsidRPr="0041080D">
        <w:rPr>
          <w:color w:val="1B1B1B"/>
        </w:rPr>
        <w:t>kolonizācijas</w:t>
      </w:r>
      <w:proofErr w:type="spellEnd"/>
      <w:r w:rsidR="00EF25E3" w:rsidRPr="0041080D">
        <w:rPr>
          <w:color w:val="1B1B1B"/>
        </w:rPr>
        <w:t xml:space="preserve"> </w:t>
      </w:r>
      <w:proofErr w:type="spellStart"/>
      <w:r w:rsidR="00EF25E3" w:rsidRPr="0041080D">
        <w:rPr>
          <w:color w:val="1B1B1B"/>
        </w:rPr>
        <w:t>risku</w:t>
      </w:r>
      <w:proofErr w:type="spellEnd"/>
      <w:r w:rsidR="00EF25E3" w:rsidRPr="0041080D">
        <w:rPr>
          <w:color w:val="1B1B1B"/>
        </w:rPr>
        <w:t xml:space="preserve"> un </w:t>
      </w:r>
      <w:proofErr w:type="spellStart"/>
      <w:r w:rsidR="00EF25E3" w:rsidRPr="0041080D">
        <w:rPr>
          <w:color w:val="1B1B1B"/>
        </w:rPr>
        <w:t>iespējamu</w:t>
      </w:r>
      <w:proofErr w:type="spellEnd"/>
      <w:r w:rsidR="00EF25E3" w:rsidRPr="0041080D">
        <w:rPr>
          <w:color w:val="1B1B1B"/>
        </w:rPr>
        <w:t xml:space="preserve"> </w:t>
      </w:r>
      <w:proofErr w:type="spellStart"/>
      <w:r w:rsidR="00EF25E3" w:rsidRPr="0041080D">
        <w:rPr>
          <w:color w:val="1B1B1B"/>
        </w:rPr>
        <w:t>ilgtermiņa</w:t>
      </w:r>
      <w:proofErr w:type="spellEnd"/>
      <w:r w:rsidR="00EF25E3" w:rsidRPr="0041080D">
        <w:rPr>
          <w:color w:val="1B1B1B"/>
        </w:rPr>
        <w:t xml:space="preserve"> </w:t>
      </w:r>
      <w:proofErr w:type="spellStart"/>
      <w:r w:rsidR="00EF25E3" w:rsidRPr="0041080D">
        <w:rPr>
          <w:color w:val="1B1B1B"/>
        </w:rPr>
        <w:t>ietekmi</w:t>
      </w:r>
      <w:proofErr w:type="spellEnd"/>
      <w:r w:rsidR="00EF25E3" w:rsidRPr="0041080D">
        <w:rPr>
          <w:color w:val="1B1B1B"/>
        </w:rPr>
        <w:t xml:space="preserve"> </w:t>
      </w:r>
      <w:proofErr w:type="spellStart"/>
      <w:r w:rsidR="00EF25E3" w:rsidRPr="0041080D">
        <w:rPr>
          <w:color w:val="1B1B1B"/>
        </w:rPr>
        <w:t>uz</w:t>
      </w:r>
      <w:proofErr w:type="spellEnd"/>
      <w:r w:rsidR="00EF25E3" w:rsidRPr="0041080D">
        <w:rPr>
          <w:color w:val="1B1B1B"/>
        </w:rPr>
        <w:t xml:space="preserve"> </w:t>
      </w:r>
      <w:proofErr w:type="spellStart"/>
      <w:r w:rsidR="00EF25E3" w:rsidRPr="0041080D">
        <w:rPr>
          <w:color w:val="1B1B1B"/>
        </w:rPr>
        <w:t>vielmaiņu</w:t>
      </w:r>
      <w:proofErr w:type="spellEnd"/>
      <w:r w:rsidR="00EF25E3" w:rsidRPr="0041080D">
        <w:rPr>
          <w:color w:val="1B1B1B"/>
        </w:rPr>
        <w:t xml:space="preserve"> un </w:t>
      </w:r>
      <w:proofErr w:type="spellStart"/>
      <w:r w:rsidR="00EF25E3" w:rsidRPr="0041080D">
        <w:rPr>
          <w:color w:val="1B1B1B"/>
        </w:rPr>
        <w:t>imūnsistēmu</w:t>
      </w:r>
      <w:proofErr w:type="spellEnd"/>
      <w:r w:rsidR="00EF25E3" w:rsidRPr="0041080D">
        <w:rPr>
          <w:color w:val="1B1B1B"/>
        </w:rPr>
        <w:t>.</w:t>
      </w:r>
    </w:p>
    <w:p w14:paraId="18555FB4" w14:textId="77777777" w:rsidR="00D568F6" w:rsidRDefault="00D568F6" w:rsidP="00D568F6">
      <w:pPr>
        <w:pStyle w:val="Paraststmeklis"/>
        <w:shd w:val="clear" w:color="auto" w:fill="FFFFFF"/>
        <w:spacing w:before="240" w:beforeAutospacing="0" w:after="240" w:afterAutospacing="0"/>
        <w:ind w:left="720"/>
        <w:rPr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84965F1" w14:textId="0D31FE94" w:rsidR="00D568F6" w:rsidRPr="00DF0588" w:rsidRDefault="00D568F6" w:rsidP="00D568F6">
      <w:pPr>
        <w:pStyle w:val="Paraststmeklis"/>
        <w:shd w:val="clear" w:color="auto" w:fill="FFFFFF"/>
        <w:spacing w:before="240" w:beforeAutospacing="0" w:after="240" w:afterAutospacing="0"/>
        <w:ind w:left="720"/>
        <w:rPr>
          <w:color w:val="1B1B1B"/>
          <w:sz w:val="22"/>
          <w:szCs w:val="22"/>
        </w:rPr>
      </w:pPr>
      <w:r w:rsidRPr="00DF0588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Tabula Nr. 1. </w:t>
      </w:r>
      <w:proofErr w:type="spellStart"/>
      <w:r w:rsidRPr="00DF0588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Galvenās</w:t>
      </w:r>
      <w:proofErr w:type="spellEnd"/>
      <w:r w:rsidRPr="00DF0588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F0588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zarnu</w:t>
      </w:r>
      <w:proofErr w:type="spellEnd"/>
      <w:r w:rsidRPr="00DF0588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F0588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mikrobiotas</w:t>
      </w:r>
      <w:proofErr w:type="spellEnd"/>
      <w:r w:rsidRPr="00DF0588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F0588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izmaiņas</w:t>
      </w:r>
      <w:proofErr w:type="spellEnd"/>
      <w:r w:rsidRPr="00DF0588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F0588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pēc</w:t>
      </w:r>
      <w:proofErr w:type="spellEnd"/>
      <w:r w:rsidRPr="00DF0588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AB </w:t>
      </w:r>
      <w:proofErr w:type="spellStart"/>
      <w:r w:rsidRPr="00DF0588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terapijas</w:t>
      </w:r>
      <w:proofErr w:type="spellEnd"/>
      <w:r w:rsidRPr="00DF0588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[</w:t>
      </w:r>
      <w:r w:rsidR="00DF0588" w:rsidRPr="00DF0588">
        <w:rPr>
          <w:color w:val="1B1B1B"/>
          <w:sz w:val="22"/>
          <w:szCs w:val="22"/>
          <w:lang w:val="lv-LV"/>
        </w:rPr>
        <w:t xml:space="preserve">Gudra </w:t>
      </w:r>
      <w:proofErr w:type="spellStart"/>
      <w:r w:rsidR="00DF0588" w:rsidRPr="00DF0588">
        <w:rPr>
          <w:color w:val="1B1B1B"/>
          <w:sz w:val="22"/>
          <w:szCs w:val="22"/>
          <w:lang w:val="lv-LV"/>
        </w:rPr>
        <w:t>et</w:t>
      </w:r>
      <w:proofErr w:type="spellEnd"/>
      <w:r w:rsidR="00DF0588" w:rsidRPr="00DF0588">
        <w:rPr>
          <w:color w:val="1B1B1B"/>
          <w:sz w:val="22"/>
          <w:szCs w:val="22"/>
          <w:lang w:val="lv-LV"/>
        </w:rPr>
        <w:t xml:space="preserve"> </w:t>
      </w:r>
      <w:proofErr w:type="spellStart"/>
      <w:r w:rsidR="00DF0588" w:rsidRPr="00DF0588">
        <w:rPr>
          <w:color w:val="1B1B1B"/>
          <w:sz w:val="22"/>
          <w:szCs w:val="22"/>
          <w:lang w:val="lv-LV"/>
        </w:rPr>
        <w:t>al</w:t>
      </w:r>
      <w:proofErr w:type="spellEnd"/>
      <w:r w:rsidR="00DF0588" w:rsidRPr="00DF0588">
        <w:rPr>
          <w:color w:val="1B1B1B"/>
          <w:sz w:val="22"/>
          <w:szCs w:val="22"/>
          <w:lang w:val="lv-LV"/>
        </w:rPr>
        <w:t xml:space="preserve">, 2025; </w:t>
      </w:r>
      <w:proofErr w:type="spellStart"/>
      <w:r w:rsidR="00DF0588" w:rsidRPr="00DF0588">
        <w:rPr>
          <w:color w:val="1B1B1B"/>
          <w:sz w:val="22"/>
          <w:szCs w:val="22"/>
          <w:lang w:val="lv-LV"/>
        </w:rPr>
        <w:t>Wurm</w:t>
      </w:r>
      <w:proofErr w:type="spellEnd"/>
      <w:r w:rsidR="00DF0588" w:rsidRPr="00DF0588">
        <w:rPr>
          <w:color w:val="1B1B1B"/>
          <w:sz w:val="22"/>
          <w:szCs w:val="22"/>
          <w:lang w:val="lv-LV"/>
        </w:rPr>
        <w:t xml:space="preserve"> </w:t>
      </w:r>
      <w:proofErr w:type="spellStart"/>
      <w:r w:rsidR="00DF0588" w:rsidRPr="00DF0588">
        <w:rPr>
          <w:color w:val="1B1B1B"/>
          <w:sz w:val="22"/>
          <w:szCs w:val="22"/>
          <w:lang w:val="lv-LV"/>
        </w:rPr>
        <w:t>et</w:t>
      </w:r>
      <w:proofErr w:type="spellEnd"/>
      <w:r w:rsidR="00DF0588" w:rsidRPr="00DF0588">
        <w:rPr>
          <w:color w:val="1B1B1B"/>
          <w:sz w:val="22"/>
          <w:szCs w:val="22"/>
          <w:lang w:val="lv-LV"/>
        </w:rPr>
        <w:t xml:space="preserve"> </w:t>
      </w:r>
      <w:proofErr w:type="spellStart"/>
      <w:r w:rsidR="00DF0588" w:rsidRPr="00DF0588">
        <w:rPr>
          <w:color w:val="1B1B1B"/>
          <w:sz w:val="22"/>
          <w:szCs w:val="22"/>
          <w:lang w:val="lv-LV"/>
        </w:rPr>
        <w:t>al</w:t>
      </w:r>
      <w:proofErr w:type="spellEnd"/>
      <w:r w:rsidR="00DF0588" w:rsidRPr="00DF0588">
        <w:rPr>
          <w:color w:val="1B1B1B"/>
          <w:sz w:val="22"/>
          <w:szCs w:val="22"/>
          <w:lang w:val="lv-LV"/>
        </w:rPr>
        <w:t>, 2024</w:t>
      </w:r>
      <w:r w:rsidRPr="00DF0588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]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794"/>
        <w:gridCol w:w="5556"/>
      </w:tblGrid>
      <w:tr w:rsidR="00D568F6" w14:paraId="0153667E" w14:textId="77777777" w:rsidTr="00D568F6">
        <w:tc>
          <w:tcPr>
            <w:tcW w:w="3794" w:type="dxa"/>
          </w:tcPr>
          <w:p w14:paraId="12D8B13C" w14:textId="77777777" w:rsidR="00D568F6" w:rsidRPr="008E7F60" w:rsidRDefault="00D568F6" w:rsidP="002A0FA8">
            <w:pPr>
              <w:pStyle w:val="Paraststmeklis"/>
              <w:spacing w:before="240" w:beforeAutospacing="0" w:after="240" w:afterAutospacing="0"/>
              <w:rPr>
                <w:b/>
                <w:bCs/>
                <w:color w:val="1B1B1B"/>
              </w:rPr>
            </w:pPr>
            <w:proofErr w:type="spellStart"/>
            <w:r w:rsidRPr="008E7F60">
              <w:rPr>
                <w:b/>
                <w:bCs/>
                <w:color w:val="1B1B1B"/>
              </w:rPr>
              <w:t>Baktēriju</w:t>
            </w:r>
            <w:proofErr w:type="spellEnd"/>
            <w:r w:rsidRPr="008E7F60">
              <w:rPr>
                <w:b/>
                <w:bCs/>
                <w:color w:val="1B1B1B"/>
              </w:rPr>
              <w:t xml:space="preserve"> </w:t>
            </w:r>
            <w:proofErr w:type="spellStart"/>
            <w:r w:rsidRPr="008E7F60">
              <w:rPr>
                <w:b/>
                <w:bCs/>
                <w:color w:val="1B1B1B"/>
              </w:rPr>
              <w:t>dzimta</w:t>
            </w:r>
            <w:proofErr w:type="spellEnd"/>
          </w:p>
        </w:tc>
        <w:tc>
          <w:tcPr>
            <w:tcW w:w="5556" w:type="dxa"/>
          </w:tcPr>
          <w:p w14:paraId="1E1406BE" w14:textId="77777777" w:rsidR="00D568F6" w:rsidRPr="008E7F60" w:rsidRDefault="00D568F6" w:rsidP="002A0FA8">
            <w:pPr>
              <w:pStyle w:val="Paraststmeklis"/>
              <w:spacing w:before="240" w:beforeAutospacing="0" w:after="240" w:afterAutospacing="0"/>
              <w:rPr>
                <w:b/>
                <w:bCs/>
                <w:color w:val="1B1B1B"/>
              </w:rPr>
            </w:pPr>
            <w:proofErr w:type="spellStart"/>
            <w:r w:rsidRPr="008E7F60">
              <w:rPr>
                <w:b/>
                <w:bCs/>
                <w:color w:val="1B1B1B"/>
              </w:rPr>
              <w:t>Izmaiņas</w:t>
            </w:r>
            <w:proofErr w:type="spellEnd"/>
            <w:r w:rsidRPr="008E7F60">
              <w:rPr>
                <w:b/>
                <w:bCs/>
                <w:color w:val="1B1B1B"/>
              </w:rPr>
              <w:t xml:space="preserve"> </w:t>
            </w:r>
            <w:proofErr w:type="spellStart"/>
            <w:r w:rsidRPr="008E7F60">
              <w:rPr>
                <w:b/>
                <w:bCs/>
                <w:color w:val="1B1B1B"/>
              </w:rPr>
              <w:t>pēc</w:t>
            </w:r>
            <w:proofErr w:type="spellEnd"/>
            <w:r w:rsidRPr="008E7F60">
              <w:rPr>
                <w:b/>
                <w:bCs/>
                <w:color w:val="1B1B1B"/>
              </w:rPr>
              <w:t xml:space="preserve"> AB </w:t>
            </w:r>
            <w:proofErr w:type="spellStart"/>
            <w:r w:rsidRPr="008E7F60">
              <w:rPr>
                <w:b/>
                <w:bCs/>
                <w:color w:val="1B1B1B"/>
              </w:rPr>
              <w:t>terapijas</w:t>
            </w:r>
            <w:proofErr w:type="spellEnd"/>
          </w:p>
        </w:tc>
      </w:tr>
      <w:tr w:rsidR="00D568F6" w14:paraId="22B42C29" w14:textId="77777777" w:rsidTr="00D568F6">
        <w:tc>
          <w:tcPr>
            <w:tcW w:w="3794" w:type="dxa"/>
          </w:tcPr>
          <w:p w14:paraId="778F9D7A" w14:textId="77777777" w:rsidR="00D568F6" w:rsidRPr="008E7F60" w:rsidRDefault="00D568F6" w:rsidP="002A0FA8">
            <w:pPr>
              <w:pStyle w:val="Paraststmeklis"/>
              <w:spacing w:before="240" w:beforeAutospacing="0" w:after="240" w:afterAutospacing="0"/>
              <w:rPr>
                <w:i/>
                <w:iCs/>
                <w:color w:val="1B1B1B"/>
              </w:rPr>
            </w:pPr>
            <w:proofErr w:type="spellStart"/>
            <w:r w:rsidRPr="008E7F60">
              <w:rPr>
                <w:i/>
                <w:iCs/>
                <w:color w:val="1B1B1B"/>
              </w:rPr>
              <w:t>Bifidobacteriaceae</w:t>
            </w:r>
            <w:proofErr w:type="spellEnd"/>
          </w:p>
        </w:tc>
        <w:tc>
          <w:tcPr>
            <w:tcW w:w="5556" w:type="dxa"/>
          </w:tcPr>
          <w:p w14:paraId="5B9949E1" w14:textId="77777777" w:rsidR="00D568F6" w:rsidRDefault="00D568F6" w:rsidP="002A0FA8">
            <w:pPr>
              <w:pStyle w:val="Paraststmeklis"/>
              <w:spacing w:before="240" w:beforeAutospacing="0" w:after="240" w:afterAutospacing="0"/>
              <w:rPr>
                <w:color w:val="1B1B1B"/>
              </w:rPr>
            </w:pPr>
            <w:r w:rsidRPr="008E7F60">
              <w:rPr>
                <w:color w:val="1B1B1B"/>
              </w:rPr>
              <w:t xml:space="preserve">↓ </w:t>
            </w:r>
            <w:proofErr w:type="spellStart"/>
            <w:r w:rsidRPr="008E7F60">
              <w:rPr>
                <w:color w:val="1B1B1B"/>
              </w:rPr>
              <w:t>samazinās</w:t>
            </w:r>
            <w:proofErr w:type="spellEnd"/>
            <w:r w:rsidRPr="008E7F60">
              <w:rPr>
                <w:color w:val="1B1B1B"/>
              </w:rPr>
              <w:t xml:space="preserve"> (</w:t>
            </w:r>
            <w:proofErr w:type="spellStart"/>
            <w:r w:rsidRPr="008E7F60">
              <w:rPr>
                <w:color w:val="1B1B1B"/>
              </w:rPr>
              <w:t>daļēja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atjaunošanās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pēc</w:t>
            </w:r>
            <w:proofErr w:type="spellEnd"/>
            <w:r w:rsidRPr="008E7F60">
              <w:rPr>
                <w:color w:val="1B1B1B"/>
              </w:rPr>
              <w:t xml:space="preserve"> 1 </w:t>
            </w:r>
            <w:proofErr w:type="spellStart"/>
            <w:r w:rsidRPr="008E7F60">
              <w:rPr>
                <w:color w:val="1B1B1B"/>
              </w:rPr>
              <w:t>mēn</w:t>
            </w:r>
            <w:proofErr w:type="spellEnd"/>
            <w:r w:rsidRPr="008E7F60">
              <w:rPr>
                <w:color w:val="1B1B1B"/>
              </w:rPr>
              <w:t>.)</w:t>
            </w:r>
          </w:p>
        </w:tc>
      </w:tr>
      <w:tr w:rsidR="00D568F6" w14:paraId="772B86F6" w14:textId="77777777" w:rsidTr="00D568F6">
        <w:tc>
          <w:tcPr>
            <w:tcW w:w="3794" w:type="dxa"/>
          </w:tcPr>
          <w:p w14:paraId="750ED830" w14:textId="77777777" w:rsidR="00D568F6" w:rsidRPr="008E7F60" w:rsidRDefault="00D568F6" w:rsidP="002A0FA8">
            <w:pPr>
              <w:pStyle w:val="Paraststmeklis"/>
              <w:spacing w:before="240" w:beforeAutospacing="0" w:after="240" w:afterAutospacing="0"/>
              <w:rPr>
                <w:i/>
                <w:iCs/>
                <w:color w:val="1B1B1B"/>
              </w:rPr>
            </w:pPr>
            <w:proofErr w:type="spellStart"/>
            <w:r w:rsidRPr="008E7F60">
              <w:rPr>
                <w:i/>
                <w:iCs/>
                <w:color w:val="1B1B1B"/>
              </w:rPr>
              <w:t>Lachnospiraceae</w:t>
            </w:r>
            <w:proofErr w:type="spellEnd"/>
          </w:p>
        </w:tc>
        <w:tc>
          <w:tcPr>
            <w:tcW w:w="5556" w:type="dxa"/>
          </w:tcPr>
          <w:p w14:paraId="5588AB96" w14:textId="77777777" w:rsidR="00D568F6" w:rsidRDefault="00D568F6" w:rsidP="002A0FA8">
            <w:pPr>
              <w:pStyle w:val="Paraststmeklis"/>
              <w:spacing w:before="240" w:beforeAutospacing="0" w:after="240" w:afterAutospacing="0"/>
              <w:rPr>
                <w:color w:val="1B1B1B"/>
              </w:rPr>
            </w:pPr>
            <w:r w:rsidRPr="008E7F60">
              <w:rPr>
                <w:color w:val="1B1B1B"/>
              </w:rPr>
              <w:t xml:space="preserve">↓ </w:t>
            </w:r>
            <w:proofErr w:type="spellStart"/>
            <w:r w:rsidRPr="008E7F60">
              <w:rPr>
                <w:color w:val="1B1B1B"/>
              </w:rPr>
              <w:t>samazinās</w:t>
            </w:r>
            <w:proofErr w:type="spellEnd"/>
            <w:r w:rsidRPr="008E7F60">
              <w:rPr>
                <w:color w:val="1B1B1B"/>
              </w:rPr>
              <w:t xml:space="preserve"> (</w:t>
            </w:r>
            <w:proofErr w:type="spellStart"/>
            <w:r w:rsidRPr="008E7F60">
              <w:rPr>
                <w:color w:val="1B1B1B"/>
              </w:rPr>
              <w:t>nelielas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svārstības</w:t>
            </w:r>
            <w:proofErr w:type="spellEnd"/>
            <w:r w:rsidRPr="008E7F60">
              <w:rPr>
                <w:color w:val="1B1B1B"/>
              </w:rPr>
              <w:t xml:space="preserve">, bez </w:t>
            </w:r>
            <w:proofErr w:type="spellStart"/>
            <w:r w:rsidRPr="008E7F60">
              <w:rPr>
                <w:color w:val="1B1B1B"/>
              </w:rPr>
              <w:t>nozīmīgām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atšķirībām</w:t>
            </w:r>
            <w:proofErr w:type="spellEnd"/>
            <w:r w:rsidRPr="008E7F60">
              <w:rPr>
                <w:color w:val="1B1B1B"/>
              </w:rPr>
              <w:t>)</w:t>
            </w:r>
          </w:p>
        </w:tc>
      </w:tr>
      <w:tr w:rsidR="006641A5" w14:paraId="0749F964" w14:textId="77777777" w:rsidTr="00D568F6">
        <w:tc>
          <w:tcPr>
            <w:tcW w:w="3794" w:type="dxa"/>
          </w:tcPr>
          <w:p w14:paraId="5BE573AA" w14:textId="3D176594" w:rsidR="006641A5" w:rsidRPr="008E7F60" w:rsidRDefault="006641A5" w:rsidP="006641A5">
            <w:pPr>
              <w:pStyle w:val="Paraststmeklis"/>
              <w:spacing w:before="240" w:beforeAutospacing="0" w:after="240" w:afterAutospacing="0"/>
              <w:rPr>
                <w:i/>
                <w:iCs/>
                <w:color w:val="1B1B1B"/>
              </w:rPr>
            </w:pPr>
            <w:r w:rsidRPr="006641A5">
              <w:rPr>
                <w:i/>
                <w:iCs/>
                <w:color w:val="1B1B1B"/>
              </w:rPr>
              <w:t> Lactobacillus</w:t>
            </w:r>
          </w:p>
        </w:tc>
        <w:tc>
          <w:tcPr>
            <w:tcW w:w="5556" w:type="dxa"/>
          </w:tcPr>
          <w:p w14:paraId="0C933AF8" w14:textId="5AEB4513" w:rsidR="006641A5" w:rsidRDefault="006641A5" w:rsidP="006641A5">
            <w:pPr>
              <w:pStyle w:val="Paraststmeklis"/>
              <w:spacing w:before="240" w:beforeAutospacing="0" w:after="240" w:afterAutospacing="0"/>
              <w:rPr>
                <w:color w:val="1B1B1B"/>
              </w:rPr>
            </w:pPr>
            <w:r w:rsidRPr="008E7F60">
              <w:rPr>
                <w:color w:val="1B1B1B"/>
              </w:rPr>
              <w:t xml:space="preserve">↓ </w:t>
            </w:r>
            <w:proofErr w:type="spellStart"/>
            <w:r w:rsidRPr="008E7F60">
              <w:rPr>
                <w:color w:val="1B1B1B"/>
              </w:rPr>
              <w:t>samazinās</w:t>
            </w:r>
            <w:proofErr w:type="spellEnd"/>
            <w:r w:rsidRPr="008E7F60">
              <w:rPr>
                <w:color w:val="1B1B1B"/>
              </w:rPr>
              <w:t xml:space="preserve"> (</w:t>
            </w:r>
            <w:proofErr w:type="spellStart"/>
            <w:r w:rsidRPr="008E7F60">
              <w:rPr>
                <w:color w:val="1B1B1B"/>
              </w:rPr>
              <w:t>daļēja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atjaunošanās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pēc</w:t>
            </w:r>
            <w:proofErr w:type="spellEnd"/>
            <w:r w:rsidRPr="008E7F60">
              <w:rPr>
                <w:color w:val="1B1B1B"/>
              </w:rPr>
              <w:t xml:space="preserve"> 1 </w:t>
            </w:r>
            <w:proofErr w:type="spellStart"/>
            <w:r w:rsidRPr="008E7F60">
              <w:rPr>
                <w:color w:val="1B1B1B"/>
              </w:rPr>
              <w:t>mēn</w:t>
            </w:r>
            <w:proofErr w:type="spellEnd"/>
            <w:r w:rsidRPr="008E7F60">
              <w:rPr>
                <w:color w:val="1B1B1B"/>
              </w:rPr>
              <w:t>.)</w:t>
            </w:r>
          </w:p>
        </w:tc>
      </w:tr>
      <w:tr w:rsidR="00D568F6" w14:paraId="3B2C0404" w14:textId="77777777" w:rsidTr="00D568F6">
        <w:tc>
          <w:tcPr>
            <w:tcW w:w="3794" w:type="dxa"/>
          </w:tcPr>
          <w:p w14:paraId="3BF114C5" w14:textId="77777777" w:rsidR="00D568F6" w:rsidRPr="008E7F60" w:rsidRDefault="00D568F6" w:rsidP="002A0FA8">
            <w:pPr>
              <w:pStyle w:val="Paraststmeklis"/>
              <w:spacing w:before="240" w:beforeAutospacing="0" w:after="240" w:afterAutospacing="0"/>
              <w:rPr>
                <w:i/>
                <w:iCs/>
                <w:color w:val="1B1B1B"/>
              </w:rPr>
            </w:pPr>
            <w:proofErr w:type="spellStart"/>
            <w:r w:rsidRPr="008E7F60">
              <w:rPr>
                <w:i/>
                <w:iCs/>
                <w:color w:val="1B1B1B"/>
              </w:rPr>
              <w:t>Coriobacteriaceae</w:t>
            </w:r>
            <w:proofErr w:type="spellEnd"/>
          </w:p>
        </w:tc>
        <w:tc>
          <w:tcPr>
            <w:tcW w:w="5556" w:type="dxa"/>
          </w:tcPr>
          <w:p w14:paraId="2AB6A02F" w14:textId="77777777" w:rsidR="00D568F6" w:rsidRDefault="00D568F6" w:rsidP="002A0FA8">
            <w:pPr>
              <w:pStyle w:val="Paraststmeklis"/>
              <w:spacing w:before="240" w:beforeAutospacing="0" w:after="240" w:afterAutospacing="0"/>
              <w:rPr>
                <w:color w:val="1B1B1B"/>
              </w:rPr>
            </w:pPr>
            <w:r w:rsidRPr="008E7F60">
              <w:rPr>
                <w:color w:val="1B1B1B"/>
              </w:rPr>
              <w:t xml:space="preserve">↓ </w:t>
            </w:r>
            <w:proofErr w:type="spellStart"/>
            <w:r w:rsidRPr="008E7F60">
              <w:rPr>
                <w:color w:val="1B1B1B"/>
              </w:rPr>
              <w:t>būtisks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kritums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pirmajā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nedēļā</w:t>
            </w:r>
            <w:proofErr w:type="spellEnd"/>
          </w:p>
        </w:tc>
      </w:tr>
      <w:tr w:rsidR="00D568F6" w14:paraId="3F2A61BD" w14:textId="77777777" w:rsidTr="00D568F6">
        <w:tc>
          <w:tcPr>
            <w:tcW w:w="3794" w:type="dxa"/>
          </w:tcPr>
          <w:p w14:paraId="22A2D83C" w14:textId="77777777" w:rsidR="00D568F6" w:rsidRPr="008E7F60" w:rsidRDefault="00D568F6" w:rsidP="002A0FA8">
            <w:pPr>
              <w:pStyle w:val="Paraststmeklis"/>
              <w:spacing w:before="240" w:beforeAutospacing="0" w:after="240" w:afterAutospacing="0"/>
              <w:rPr>
                <w:i/>
                <w:iCs/>
                <w:color w:val="1B1B1B"/>
              </w:rPr>
            </w:pPr>
            <w:r w:rsidRPr="008E7F60">
              <w:rPr>
                <w:i/>
                <w:iCs/>
                <w:color w:val="1B1B1B"/>
              </w:rPr>
              <w:t>Enterobacteriaceae</w:t>
            </w:r>
          </w:p>
        </w:tc>
        <w:tc>
          <w:tcPr>
            <w:tcW w:w="5556" w:type="dxa"/>
          </w:tcPr>
          <w:p w14:paraId="5C4E33E9" w14:textId="77777777" w:rsidR="00D568F6" w:rsidRDefault="00D568F6" w:rsidP="002A0FA8">
            <w:pPr>
              <w:pStyle w:val="Paraststmeklis"/>
              <w:spacing w:before="240" w:beforeAutospacing="0" w:after="240" w:afterAutospacing="0"/>
              <w:rPr>
                <w:color w:val="1B1B1B"/>
              </w:rPr>
            </w:pPr>
            <w:r w:rsidRPr="008E7F60">
              <w:rPr>
                <w:color w:val="1B1B1B"/>
              </w:rPr>
              <w:t xml:space="preserve">↑ </w:t>
            </w:r>
            <w:proofErr w:type="spellStart"/>
            <w:r w:rsidRPr="008E7F60">
              <w:rPr>
                <w:color w:val="1B1B1B"/>
              </w:rPr>
              <w:t>relatīvs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pieaugums</w:t>
            </w:r>
            <w:proofErr w:type="spellEnd"/>
            <w:r w:rsidRPr="008E7F60">
              <w:rPr>
                <w:color w:val="1B1B1B"/>
              </w:rPr>
              <w:t xml:space="preserve"> (</w:t>
            </w:r>
            <w:proofErr w:type="spellStart"/>
            <w:r w:rsidRPr="008E7F60">
              <w:rPr>
                <w:color w:val="1B1B1B"/>
              </w:rPr>
              <w:t>īpaši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bērniem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ar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caureju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zemāks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pēc</w:t>
            </w:r>
            <w:proofErr w:type="spellEnd"/>
            <w:r w:rsidRPr="008E7F60">
              <w:rPr>
                <w:color w:val="1B1B1B"/>
              </w:rPr>
              <w:t xml:space="preserve"> 1 </w:t>
            </w:r>
            <w:proofErr w:type="spellStart"/>
            <w:r w:rsidRPr="008E7F60">
              <w:rPr>
                <w:color w:val="1B1B1B"/>
              </w:rPr>
              <w:t>mēn</w:t>
            </w:r>
            <w:proofErr w:type="spellEnd"/>
            <w:r w:rsidRPr="008E7F60">
              <w:rPr>
                <w:color w:val="1B1B1B"/>
              </w:rPr>
              <w:t>.)</w:t>
            </w:r>
          </w:p>
        </w:tc>
      </w:tr>
      <w:tr w:rsidR="00D568F6" w14:paraId="77B6A13E" w14:textId="77777777" w:rsidTr="00D568F6">
        <w:tc>
          <w:tcPr>
            <w:tcW w:w="3794" w:type="dxa"/>
          </w:tcPr>
          <w:p w14:paraId="57F45F4F" w14:textId="77777777" w:rsidR="00D568F6" w:rsidRPr="008E7F60" w:rsidRDefault="00D568F6" w:rsidP="002A0FA8">
            <w:pPr>
              <w:pStyle w:val="Paraststmeklis"/>
              <w:spacing w:before="240" w:beforeAutospacing="0" w:after="240" w:afterAutospacing="0"/>
              <w:rPr>
                <w:i/>
                <w:iCs/>
                <w:color w:val="1B1B1B"/>
              </w:rPr>
            </w:pPr>
            <w:proofErr w:type="spellStart"/>
            <w:r w:rsidRPr="008E7F60">
              <w:rPr>
                <w:i/>
                <w:iCs/>
                <w:color w:val="1B1B1B"/>
              </w:rPr>
              <w:t>Prevotellaceae</w:t>
            </w:r>
            <w:proofErr w:type="spellEnd"/>
          </w:p>
        </w:tc>
        <w:tc>
          <w:tcPr>
            <w:tcW w:w="5556" w:type="dxa"/>
          </w:tcPr>
          <w:p w14:paraId="54F936C2" w14:textId="77777777" w:rsidR="00D568F6" w:rsidRPr="008E7F60" w:rsidRDefault="00D568F6" w:rsidP="002A0FA8">
            <w:pPr>
              <w:pStyle w:val="Paraststmeklis"/>
              <w:spacing w:before="240" w:beforeAutospacing="0" w:after="240" w:afterAutospacing="0"/>
              <w:rPr>
                <w:color w:val="1B1B1B"/>
              </w:rPr>
            </w:pPr>
            <w:r w:rsidRPr="008E7F60">
              <w:rPr>
                <w:color w:val="1B1B1B"/>
              </w:rPr>
              <w:t xml:space="preserve">↑ </w:t>
            </w:r>
            <w:proofErr w:type="spellStart"/>
            <w:r w:rsidRPr="008E7F60">
              <w:rPr>
                <w:color w:val="1B1B1B"/>
              </w:rPr>
              <w:t>augstāks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līmenis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bērniem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ar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caureju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pirmajā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nedēļā</w:t>
            </w:r>
            <w:proofErr w:type="spellEnd"/>
          </w:p>
        </w:tc>
      </w:tr>
      <w:tr w:rsidR="00D568F6" w14:paraId="06C8153C" w14:textId="77777777" w:rsidTr="00D568F6">
        <w:tc>
          <w:tcPr>
            <w:tcW w:w="3794" w:type="dxa"/>
          </w:tcPr>
          <w:p w14:paraId="3454AF86" w14:textId="77777777" w:rsidR="00D568F6" w:rsidRPr="008E7F60" w:rsidRDefault="00D568F6" w:rsidP="002A0FA8">
            <w:pPr>
              <w:pStyle w:val="Paraststmeklis"/>
              <w:spacing w:before="240" w:beforeAutospacing="0" w:after="240" w:afterAutospacing="0"/>
              <w:rPr>
                <w:i/>
                <w:iCs/>
                <w:color w:val="1B1B1B"/>
              </w:rPr>
            </w:pPr>
            <w:proofErr w:type="spellStart"/>
            <w:r w:rsidRPr="008E7F60">
              <w:rPr>
                <w:i/>
                <w:iCs/>
                <w:color w:val="1B1B1B"/>
              </w:rPr>
              <w:t>Acidaminococcaceae</w:t>
            </w:r>
            <w:proofErr w:type="spellEnd"/>
          </w:p>
        </w:tc>
        <w:tc>
          <w:tcPr>
            <w:tcW w:w="5556" w:type="dxa"/>
          </w:tcPr>
          <w:p w14:paraId="2FDE8604" w14:textId="77777777" w:rsidR="00D568F6" w:rsidRDefault="00D568F6" w:rsidP="002A0FA8">
            <w:pPr>
              <w:pStyle w:val="Paraststmeklis"/>
              <w:spacing w:before="240" w:beforeAutospacing="0" w:after="240" w:afterAutospacing="0"/>
              <w:rPr>
                <w:color w:val="1B1B1B"/>
              </w:rPr>
            </w:pPr>
            <w:r w:rsidRPr="008E7F60">
              <w:rPr>
                <w:color w:val="1B1B1B"/>
              </w:rPr>
              <w:t xml:space="preserve">↑ </w:t>
            </w:r>
            <w:proofErr w:type="spellStart"/>
            <w:r w:rsidRPr="008E7F60">
              <w:rPr>
                <w:color w:val="1B1B1B"/>
              </w:rPr>
              <w:t>palielinās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pēc</w:t>
            </w:r>
            <w:proofErr w:type="spellEnd"/>
            <w:r w:rsidRPr="008E7F60">
              <w:rPr>
                <w:color w:val="1B1B1B"/>
              </w:rPr>
              <w:t xml:space="preserve"> 1 </w:t>
            </w:r>
            <w:proofErr w:type="spellStart"/>
            <w:r w:rsidRPr="008E7F60">
              <w:rPr>
                <w:color w:val="1B1B1B"/>
              </w:rPr>
              <w:t>mēneša</w:t>
            </w:r>
            <w:proofErr w:type="spellEnd"/>
            <w:r w:rsidRPr="008E7F60">
              <w:rPr>
                <w:color w:val="1B1B1B"/>
              </w:rPr>
              <w:t xml:space="preserve"> (</w:t>
            </w:r>
            <w:proofErr w:type="spellStart"/>
            <w:r w:rsidRPr="008E7F60">
              <w:rPr>
                <w:color w:val="1B1B1B"/>
              </w:rPr>
              <w:t>noturīgas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pārmaiņas</w:t>
            </w:r>
            <w:proofErr w:type="spellEnd"/>
            <w:r w:rsidRPr="008E7F60">
              <w:rPr>
                <w:color w:val="1B1B1B"/>
              </w:rPr>
              <w:t>)</w:t>
            </w:r>
          </w:p>
        </w:tc>
      </w:tr>
      <w:tr w:rsidR="00D568F6" w14:paraId="33EB096C" w14:textId="77777777" w:rsidTr="00D568F6">
        <w:trPr>
          <w:trHeight w:val="667"/>
        </w:trPr>
        <w:tc>
          <w:tcPr>
            <w:tcW w:w="3794" w:type="dxa"/>
          </w:tcPr>
          <w:p w14:paraId="44E340BD" w14:textId="77777777" w:rsidR="00D568F6" w:rsidRPr="008E7F60" w:rsidRDefault="00D568F6" w:rsidP="002A0FA8">
            <w:pPr>
              <w:pStyle w:val="Paraststmeklis"/>
              <w:spacing w:before="240" w:beforeAutospacing="0" w:after="240" w:afterAutospacing="0"/>
              <w:rPr>
                <w:i/>
                <w:iCs/>
                <w:color w:val="1B1B1B"/>
              </w:rPr>
            </w:pPr>
            <w:proofErr w:type="spellStart"/>
            <w:r w:rsidRPr="008E7F60">
              <w:rPr>
                <w:i/>
                <w:iCs/>
                <w:color w:val="1B1B1B"/>
              </w:rPr>
              <w:t>Veillonellaceae</w:t>
            </w:r>
            <w:proofErr w:type="spellEnd"/>
          </w:p>
        </w:tc>
        <w:tc>
          <w:tcPr>
            <w:tcW w:w="5556" w:type="dxa"/>
          </w:tcPr>
          <w:p w14:paraId="5D37775D" w14:textId="77777777" w:rsidR="00D568F6" w:rsidRPr="008E7F60" w:rsidRDefault="00D568F6" w:rsidP="002A0FA8">
            <w:pPr>
              <w:pStyle w:val="Paraststmeklis"/>
              <w:spacing w:before="240" w:beforeAutospacing="0" w:after="240" w:afterAutospacing="0"/>
              <w:rPr>
                <w:color w:val="1B1B1B"/>
              </w:rPr>
            </w:pPr>
            <w:r w:rsidRPr="008E7F60">
              <w:rPr>
                <w:color w:val="1B1B1B"/>
              </w:rPr>
              <w:t xml:space="preserve">↑ </w:t>
            </w:r>
            <w:proofErr w:type="spellStart"/>
            <w:r w:rsidRPr="008E7F60">
              <w:rPr>
                <w:color w:val="1B1B1B"/>
              </w:rPr>
              <w:t>palielinās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pēc</w:t>
            </w:r>
            <w:proofErr w:type="spellEnd"/>
            <w:r w:rsidRPr="008E7F60">
              <w:rPr>
                <w:color w:val="1B1B1B"/>
              </w:rPr>
              <w:t xml:space="preserve"> 1 </w:t>
            </w:r>
            <w:proofErr w:type="spellStart"/>
            <w:r w:rsidRPr="008E7F60">
              <w:rPr>
                <w:color w:val="1B1B1B"/>
              </w:rPr>
              <w:t>mēneša</w:t>
            </w:r>
            <w:proofErr w:type="spellEnd"/>
            <w:r w:rsidRPr="008E7F60">
              <w:rPr>
                <w:color w:val="1B1B1B"/>
              </w:rPr>
              <w:t xml:space="preserve"> (</w:t>
            </w:r>
            <w:proofErr w:type="spellStart"/>
            <w:r w:rsidRPr="008E7F60">
              <w:rPr>
                <w:color w:val="1B1B1B"/>
              </w:rPr>
              <w:t>noturīgas</w:t>
            </w:r>
            <w:proofErr w:type="spellEnd"/>
            <w:r w:rsidRPr="008E7F60">
              <w:rPr>
                <w:color w:val="1B1B1B"/>
              </w:rPr>
              <w:t xml:space="preserve"> </w:t>
            </w:r>
            <w:proofErr w:type="spellStart"/>
            <w:r w:rsidRPr="008E7F60">
              <w:rPr>
                <w:color w:val="1B1B1B"/>
              </w:rPr>
              <w:t>pārmaiņas</w:t>
            </w:r>
            <w:proofErr w:type="spellEnd"/>
            <w:r w:rsidRPr="008E7F60">
              <w:rPr>
                <w:color w:val="1B1B1B"/>
              </w:rPr>
              <w:t>)</w:t>
            </w:r>
          </w:p>
        </w:tc>
      </w:tr>
    </w:tbl>
    <w:p w14:paraId="57F987B6" w14:textId="70968ED5" w:rsidR="00D568F6" w:rsidRDefault="00F432E3" w:rsidP="00EF25E3">
      <w:pPr>
        <w:pStyle w:val="Paraststmeklis"/>
        <w:shd w:val="clear" w:color="auto" w:fill="FFFFFF"/>
        <w:spacing w:before="240" w:beforeAutospacing="0" w:after="240" w:afterAutospacing="0"/>
        <w:rPr>
          <w:color w:val="1B1B1B"/>
          <w:lang w:val="lv-LV"/>
        </w:rPr>
      </w:pPr>
      <w:proofErr w:type="spellStart"/>
      <w:r>
        <w:rPr>
          <w:color w:val="1B1B1B"/>
        </w:rPr>
        <w:t>Līdzīgas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izmaiņas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pēc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antibakteriālas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terapijas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raksturīgas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arī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bērnu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vecumā</w:t>
      </w:r>
      <w:proofErr w:type="spellEnd"/>
      <w:r>
        <w:rPr>
          <w:color w:val="1B1B1B"/>
        </w:rPr>
        <w:t xml:space="preserve">. </w:t>
      </w:r>
      <w:proofErr w:type="spellStart"/>
      <w:r>
        <w:rPr>
          <w:color w:val="1B1B1B"/>
        </w:rPr>
        <w:t>S</w:t>
      </w:r>
      <w:r w:rsidRPr="00EF25E3">
        <w:rPr>
          <w:color w:val="1B1B1B"/>
        </w:rPr>
        <w:t>istemātiskā</w:t>
      </w:r>
      <w:proofErr w:type="spellEnd"/>
      <w:r w:rsidRPr="00EF25E3">
        <w:rPr>
          <w:color w:val="1B1B1B"/>
        </w:rPr>
        <w:t xml:space="preserve"> </w:t>
      </w:r>
      <w:proofErr w:type="spellStart"/>
      <w:r w:rsidRPr="00EF25E3">
        <w:rPr>
          <w:color w:val="1B1B1B"/>
        </w:rPr>
        <w:t>pārskat</w:t>
      </w:r>
      <w:r>
        <w:rPr>
          <w:color w:val="1B1B1B"/>
        </w:rPr>
        <w:t>ā</w:t>
      </w:r>
      <w:proofErr w:type="spellEnd"/>
      <w:r w:rsidRPr="00EF25E3">
        <w:rPr>
          <w:color w:val="1B1B1B"/>
        </w:rPr>
        <w:t xml:space="preserve"> par </w:t>
      </w:r>
      <w:proofErr w:type="spellStart"/>
      <w:r w:rsidRPr="00EF25E3">
        <w:rPr>
          <w:color w:val="1B1B1B"/>
        </w:rPr>
        <w:t>primārajā</w:t>
      </w:r>
      <w:proofErr w:type="spellEnd"/>
      <w:r w:rsidRPr="00EF25E3">
        <w:rPr>
          <w:color w:val="1B1B1B"/>
        </w:rPr>
        <w:t xml:space="preserve"> </w:t>
      </w:r>
      <w:proofErr w:type="spellStart"/>
      <w:r w:rsidRPr="00EF25E3">
        <w:rPr>
          <w:color w:val="1B1B1B"/>
        </w:rPr>
        <w:t>aprūpē</w:t>
      </w:r>
      <w:proofErr w:type="spellEnd"/>
      <w:r w:rsidRPr="00EF25E3">
        <w:rPr>
          <w:color w:val="1B1B1B"/>
        </w:rPr>
        <w:t xml:space="preserve"> </w:t>
      </w:r>
      <w:proofErr w:type="spellStart"/>
      <w:r w:rsidRPr="00EF25E3">
        <w:rPr>
          <w:color w:val="1B1B1B"/>
        </w:rPr>
        <w:t>visbiežāk</w:t>
      </w:r>
      <w:proofErr w:type="spellEnd"/>
      <w:r w:rsidRPr="00EF25E3">
        <w:rPr>
          <w:color w:val="1B1B1B"/>
        </w:rPr>
        <w:t xml:space="preserve"> </w:t>
      </w:r>
      <w:proofErr w:type="spellStart"/>
      <w:r>
        <w:rPr>
          <w:color w:val="1B1B1B"/>
        </w:rPr>
        <w:t>izmantoto</w:t>
      </w:r>
      <w:proofErr w:type="spellEnd"/>
      <w:r w:rsidRPr="00EF25E3">
        <w:rPr>
          <w:color w:val="1B1B1B"/>
        </w:rPr>
        <w:t xml:space="preserve"> </w:t>
      </w:r>
      <w:proofErr w:type="spellStart"/>
      <w:r w:rsidRPr="00EF25E3">
        <w:rPr>
          <w:color w:val="1B1B1B"/>
        </w:rPr>
        <w:t>antibiotiku</w:t>
      </w:r>
      <w:proofErr w:type="spellEnd"/>
      <w:r w:rsidRPr="00EF25E3">
        <w:rPr>
          <w:color w:val="1B1B1B"/>
        </w:rPr>
        <w:t xml:space="preserve"> </w:t>
      </w:r>
      <w:proofErr w:type="spellStart"/>
      <w:r w:rsidRPr="00EF25E3">
        <w:rPr>
          <w:color w:val="1B1B1B"/>
        </w:rPr>
        <w:t>ietekmi</w:t>
      </w:r>
      <w:proofErr w:type="spellEnd"/>
      <w:r w:rsidRPr="00EF25E3">
        <w:rPr>
          <w:color w:val="1B1B1B"/>
        </w:rPr>
        <w:t xml:space="preserve"> </w:t>
      </w:r>
      <w:proofErr w:type="spellStart"/>
      <w:r w:rsidRPr="00EF25E3">
        <w:rPr>
          <w:color w:val="1B1B1B"/>
        </w:rPr>
        <w:t>uz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zarnu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trakta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mikrobiotu</w:t>
      </w:r>
      <w:proofErr w:type="spellEnd"/>
      <w:r w:rsidR="00D568F6">
        <w:rPr>
          <w:color w:val="1B1B1B"/>
        </w:rPr>
        <w:t xml:space="preserve">, </w:t>
      </w:r>
      <w:proofErr w:type="spellStart"/>
      <w:r w:rsidR="00D568F6">
        <w:rPr>
          <w:color w:val="1B1B1B"/>
        </w:rPr>
        <w:t>kā</w:t>
      </w:r>
      <w:proofErr w:type="spellEnd"/>
      <w:r w:rsidR="00D568F6">
        <w:rPr>
          <w:color w:val="1B1B1B"/>
        </w:rPr>
        <w:t xml:space="preserve"> </w:t>
      </w:r>
      <w:proofErr w:type="spellStart"/>
      <w:r w:rsidR="00D568F6">
        <w:rPr>
          <w:color w:val="1B1B1B"/>
        </w:rPr>
        <w:t>arī</w:t>
      </w:r>
      <w:proofErr w:type="spellEnd"/>
      <w:r w:rsidR="00D568F6">
        <w:rPr>
          <w:color w:val="1B1B1B"/>
        </w:rPr>
        <w:t xml:space="preserve"> </w:t>
      </w:r>
      <w:r w:rsidR="00D568F6" w:rsidRPr="003B6D36">
        <w:rPr>
          <w:color w:val="1B1B1B"/>
          <w:lang w:val="lv-LV"/>
        </w:rPr>
        <w:t>pētījumā par a</w:t>
      </w:r>
      <w:r w:rsidR="00D568F6">
        <w:rPr>
          <w:color w:val="1B1B1B"/>
          <w:lang w:val="lv-LV"/>
        </w:rPr>
        <w:t>ntibakteriālas</w:t>
      </w:r>
      <w:r w:rsidR="00D568F6" w:rsidRPr="003B6D36">
        <w:rPr>
          <w:color w:val="1B1B1B"/>
          <w:lang w:val="lv-LV"/>
        </w:rPr>
        <w:t xml:space="preserve"> terapijas ietekmi uz </w:t>
      </w:r>
      <w:proofErr w:type="spellStart"/>
      <w:r w:rsidR="00D568F6" w:rsidRPr="003B6D36">
        <w:rPr>
          <w:color w:val="1B1B1B"/>
          <w:lang w:val="lv-LV"/>
        </w:rPr>
        <w:t>mikrobiotu</w:t>
      </w:r>
      <w:proofErr w:type="spellEnd"/>
      <w:r w:rsidR="00D568F6" w:rsidRPr="003B6D36">
        <w:rPr>
          <w:color w:val="1B1B1B"/>
          <w:lang w:val="lv-LV"/>
        </w:rPr>
        <w:t xml:space="preserve"> bērniem Latvijā</w:t>
      </w:r>
      <w:r w:rsidR="00D568F6">
        <w:rPr>
          <w:color w:val="1B1B1B"/>
        </w:rPr>
        <w:t xml:space="preserve"> </w:t>
      </w:r>
      <w:proofErr w:type="spellStart"/>
      <w:r w:rsidRPr="00EF25E3">
        <w:rPr>
          <w:color w:val="1B1B1B"/>
        </w:rPr>
        <w:t>konstatēt</w:t>
      </w:r>
      <w:r w:rsidR="00F1743B">
        <w:rPr>
          <w:color w:val="1B1B1B"/>
        </w:rPr>
        <w:t>a</w:t>
      </w:r>
      <w:r w:rsidRPr="00EF25E3">
        <w:rPr>
          <w:color w:val="1B1B1B"/>
        </w:rPr>
        <w:t>s</w:t>
      </w:r>
      <w:proofErr w:type="spellEnd"/>
      <w:r w:rsidRPr="00EF25E3">
        <w:rPr>
          <w:color w:val="1B1B1B"/>
        </w:rPr>
        <w:t xml:space="preserve"> </w:t>
      </w:r>
      <w:r w:rsidR="00D568F6" w:rsidRPr="003B6D36">
        <w:rPr>
          <w:color w:val="1B1B1B"/>
          <w:lang w:val="lv-LV"/>
        </w:rPr>
        <w:t>šādas izmaiņas</w:t>
      </w:r>
      <w:r w:rsidR="00D568F6">
        <w:rPr>
          <w:color w:val="1B1B1B"/>
          <w:lang w:val="lv-LV"/>
        </w:rPr>
        <w:t xml:space="preserve"> [</w:t>
      </w:r>
      <w:r w:rsidR="00DF0588">
        <w:rPr>
          <w:color w:val="1B1B1B"/>
          <w:lang w:val="lv-LV"/>
        </w:rPr>
        <w:t xml:space="preserve">Gudra </w:t>
      </w:r>
      <w:proofErr w:type="spellStart"/>
      <w:r w:rsidR="00DF0588">
        <w:rPr>
          <w:color w:val="1B1B1B"/>
          <w:lang w:val="lv-LV"/>
        </w:rPr>
        <w:t>et</w:t>
      </w:r>
      <w:proofErr w:type="spellEnd"/>
      <w:r w:rsidR="00DF0588">
        <w:rPr>
          <w:color w:val="1B1B1B"/>
          <w:lang w:val="lv-LV"/>
        </w:rPr>
        <w:t xml:space="preserve"> </w:t>
      </w:r>
      <w:proofErr w:type="spellStart"/>
      <w:r w:rsidR="00DF0588">
        <w:rPr>
          <w:color w:val="1B1B1B"/>
          <w:lang w:val="lv-LV"/>
        </w:rPr>
        <w:t>al</w:t>
      </w:r>
      <w:proofErr w:type="spellEnd"/>
      <w:r w:rsidR="00DF0588">
        <w:rPr>
          <w:color w:val="1B1B1B"/>
          <w:lang w:val="lv-LV"/>
        </w:rPr>
        <w:t>, 2025</w:t>
      </w:r>
      <w:r w:rsidR="006641A5">
        <w:rPr>
          <w:color w:val="1B1B1B"/>
          <w:lang w:val="lv-LV"/>
        </w:rPr>
        <w:t xml:space="preserve">; </w:t>
      </w:r>
      <w:proofErr w:type="spellStart"/>
      <w:r w:rsidR="00DF0588">
        <w:rPr>
          <w:color w:val="1B1B1B"/>
          <w:lang w:val="lv-LV"/>
        </w:rPr>
        <w:t>Wurm</w:t>
      </w:r>
      <w:proofErr w:type="spellEnd"/>
      <w:r w:rsidR="00DF0588">
        <w:rPr>
          <w:color w:val="1B1B1B"/>
          <w:lang w:val="lv-LV"/>
        </w:rPr>
        <w:t xml:space="preserve"> </w:t>
      </w:r>
      <w:proofErr w:type="spellStart"/>
      <w:r w:rsidR="00DF0588">
        <w:rPr>
          <w:color w:val="1B1B1B"/>
          <w:lang w:val="lv-LV"/>
        </w:rPr>
        <w:t>et</w:t>
      </w:r>
      <w:proofErr w:type="spellEnd"/>
      <w:r w:rsidR="00DF0588">
        <w:rPr>
          <w:color w:val="1B1B1B"/>
          <w:lang w:val="lv-LV"/>
        </w:rPr>
        <w:t xml:space="preserve"> </w:t>
      </w:r>
      <w:proofErr w:type="spellStart"/>
      <w:r w:rsidR="00DF0588">
        <w:rPr>
          <w:color w:val="1B1B1B"/>
          <w:lang w:val="lv-LV"/>
        </w:rPr>
        <w:t>al</w:t>
      </w:r>
      <w:proofErr w:type="spellEnd"/>
      <w:r w:rsidR="00DF0588">
        <w:rPr>
          <w:color w:val="1B1B1B"/>
          <w:lang w:val="lv-LV"/>
        </w:rPr>
        <w:t>, 2024</w:t>
      </w:r>
      <w:r w:rsidR="00D568F6">
        <w:rPr>
          <w:color w:val="1B1B1B"/>
          <w:lang w:val="lv-LV"/>
        </w:rPr>
        <w:t>]:</w:t>
      </w:r>
    </w:p>
    <w:p w14:paraId="66F230D8" w14:textId="141C2A9E" w:rsidR="00EF25E3" w:rsidRPr="000803F8" w:rsidRDefault="00EF25E3" w:rsidP="00EF25E3">
      <w:pPr>
        <w:pStyle w:val="Paraststmeklis"/>
        <w:numPr>
          <w:ilvl w:val="0"/>
          <w:numId w:val="31"/>
        </w:numPr>
        <w:shd w:val="clear" w:color="auto" w:fill="FFFFFF"/>
        <w:spacing w:before="240" w:beforeAutospacing="0" w:after="240" w:afterAutospacing="0"/>
        <w:rPr>
          <w:color w:val="1B1B1B"/>
          <w:lang w:val="lv-LV"/>
        </w:rPr>
      </w:pPr>
      <w:r w:rsidRPr="000803F8">
        <w:rPr>
          <w:color w:val="1B1B1B"/>
          <w:lang w:val="lv-LV"/>
        </w:rPr>
        <w:t xml:space="preserve">antibiotiku kurss </w:t>
      </w:r>
      <w:r w:rsidR="006137DF">
        <w:rPr>
          <w:color w:val="1B1B1B"/>
          <w:lang w:val="lv-LV"/>
        </w:rPr>
        <w:t xml:space="preserve">bērniem </w:t>
      </w:r>
      <w:r w:rsidRPr="000803F8">
        <w:rPr>
          <w:color w:val="1B1B1B"/>
          <w:lang w:val="lv-LV"/>
        </w:rPr>
        <w:t>izraisa </w:t>
      </w:r>
      <w:r w:rsidRPr="000803F8">
        <w:rPr>
          <w:b/>
          <w:bCs/>
          <w:color w:val="1B1B1B"/>
          <w:lang w:val="lv-LV"/>
        </w:rPr>
        <w:t xml:space="preserve">straujākas un izteiktākas </w:t>
      </w:r>
      <w:proofErr w:type="spellStart"/>
      <w:r w:rsidRPr="000803F8">
        <w:rPr>
          <w:b/>
          <w:bCs/>
          <w:color w:val="1B1B1B"/>
          <w:lang w:val="lv-LV"/>
        </w:rPr>
        <w:t>mikrobiotas</w:t>
      </w:r>
      <w:proofErr w:type="spellEnd"/>
      <w:r w:rsidRPr="000803F8">
        <w:rPr>
          <w:b/>
          <w:bCs/>
          <w:color w:val="1B1B1B"/>
          <w:lang w:val="lv-LV"/>
        </w:rPr>
        <w:t xml:space="preserve"> svārstības nekā pieaugušajiem</w:t>
      </w:r>
      <w:r w:rsidRPr="000803F8">
        <w:rPr>
          <w:color w:val="1B1B1B"/>
          <w:lang w:val="lv-LV"/>
        </w:rPr>
        <w:t>,</w:t>
      </w:r>
    </w:p>
    <w:p w14:paraId="7448BEC9" w14:textId="77777777" w:rsidR="00EF25E3" w:rsidRPr="0041080D" w:rsidRDefault="00EF25E3" w:rsidP="00EF25E3">
      <w:pPr>
        <w:pStyle w:val="Paraststmeklis"/>
        <w:numPr>
          <w:ilvl w:val="0"/>
          <w:numId w:val="31"/>
        </w:numPr>
        <w:shd w:val="clear" w:color="auto" w:fill="FFFFFF"/>
        <w:spacing w:before="240" w:beforeAutospacing="0" w:after="240" w:afterAutospacing="0"/>
        <w:rPr>
          <w:color w:val="1B1B1B"/>
        </w:rPr>
      </w:pPr>
      <w:proofErr w:type="spellStart"/>
      <w:r w:rsidRPr="0041080D">
        <w:rPr>
          <w:color w:val="1B1B1B"/>
        </w:rPr>
        <w:t>samazinās</w:t>
      </w:r>
      <w:proofErr w:type="spellEnd"/>
      <w:r w:rsidRPr="0041080D">
        <w:rPr>
          <w:color w:val="1B1B1B"/>
        </w:rPr>
        <w:t> </w:t>
      </w:r>
      <w:r w:rsidRPr="0041080D">
        <w:rPr>
          <w:b/>
          <w:bCs/>
          <w:i/>
          <w:iCs/>
          <w:color w:val="1B1B1B"/>
        </w:rPr>
        <w:t>Bifidobacterium</w:t>
      </w:r>
      <w:r w:rsidRPr="0041080D">
        <w:rPr>
          <w:color w:val="1B1B1B"/>
        </w:rPr>
        <w:t> </w:t>
      </w:r>
      <w:proofErr w:type="gramStart"/>
      <w:r w:rsidRPr="0041080D">
        <w:rPr>
          <w:color w:val="1B1B1B"/>
        </w:rPr>
        <w:t>un </w:t>
      </w:r>
      <w:r w:rsidRPr="0041080D">
        <w:rPr>
          <w:b/>
          <w:bCs/>
          <w:i/>
          <w:iCs/>
          <w:color w:val="1B1B1B"/>
        </w:rPr>
        <w:t>Lactobacillus</w:t>
      </w:r>
      <w:proofErr w:type="gramEnd"/>
      <w:r w:rsidRPr="0041080D">
        <w:rPr>
          <w:i/>
          <w:iCs/>
          <w:color w:val="1B1B1B"/>
        </w:rPr>
        <w:t> </w:t>
      </w:r>
      <w:proofErr w:type="spellStart"/>
      <w:r w:rsidRPr="0041080D">
        <w:rPr>
          <w:color w:val="1B1B1B"/>
        </w:rPr>
        <w:t>dzimtu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relatīvais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daudzums</w:t>
      </w:r>
      <w:proofErr w:type="spellEnd"/>
      <w:r w:rsidRPr="0041080D">
        <w:rPr>
          <w:color w:val="1B1B1B"/>
        </w:rPr>
        <w:t>,</w:t>
      </w:r>
    </w:p>
    <w:p w14:paraId="25CC0993" w14:textId="4C99C351" w:rsidR="00EF25E3" w:rsidRPr="0041080D" w:rsidRDefault="00EF25E3" w:rsidP="00EF25E3">
      <w:pPr>
        <w:pStyle w:val="Paraststmeklis"/>
        <w:numPr>
          <w:ilvl w:val="0"/>
          <w:numId w:val="31"/>
        </w:numPr>
        <w:shd w:val="clear" w:color="auto" w:fill="FFFFFF"/>
        <w:spacing w:before="240" w:beforeAutospacing="0" w:after="240" w:afterAutospacing="0"/>
        <w:rPr>
          <w:color w:val="1B1B1B"/>
        </w:rPr>
      </w:pPr>
      <w:proofErr w:type="spellStart"/>
      <w:r w:rsidRPr="0041080D">
        <w:rPr>
          <w:color w:val="1B1B1B"/>
        </w:rPr>
        <w:t>pieaug</w:t>
      </w:r>
      <w:proofErr w:type="spellEnd"/>
      <w:r w:rsidRPr="0041080D">
        <w:rPr>
          <w:color w:val="1B1B1B"/>
        </w:rPr>
        <w:t> </w:t>
      </w:r>
      <w:r w:rsidRPr="0041080D">
        <w:rPr>
          <w:b/>
          <w:bCs/>
          <w:i/>
          <w:iCs/>
          <w:color w:val="1B1B1B"/>
        </w:rPr>
        <w:t>Proteobacteria</w:t>
      </w:r>
      <w:r w:rsidRPr="0041080D">
        <w:rPr>
          <w:i/>
          <w:iCs/>
          <w:color w:val="1B1B1B"/>
        </w:rPr>
        <w:t> </w:t>
      </w:r>
      <w:r w:rsidRPr="0041080D">
        <w:rPr>
          <w:color w:val="1B1B1B"/>
        </w:rPr>
        <w:t>(</w:t>
      </w:r>
      <w:proofErr w:type="spellStart"/>
      <w:r w:rsidRPr="0041080D">
        <w:rPr>
          <w:color w:val="1B1B1B"/>
        </w:rPr>
        <w:t>piem</w:t>
      </w:r>
      <w:proofErr w:type="spellEnd"/>
      <w:r w:rsidRPr="0041080D">
        <w:rPr>
          <w:color w:val="1B1B1B"/>
        </w:rPr>
        <w:t>., </w:t>
      </w:r>
      <w:r w:rsidRPr="0041080D">
        <w:rPr>
          <w:i/>
          <w:iCs/>
          <w:color w:val="1B1B1B"/>
        </w:rPr>
        <w:t>Enterobacteriaceae</w:t>
      </w:r>
      <w:r w:rsidRPr="0041080D">
        <w:rPr>
          <w:color w:val="1B1B1B"/>
        </w:rPr>
        <w:t>)</w:t>
      </w:r>
      <w:r w:rsidR="003B6D36">
        <w:rPr>
          <w:color w:val="1B1B1B"/>
        </w:rPr>
        <w:t xml:space="preserve"> </w:t>
      </w:r>
      <w:proofErr w:type="spellStart"/>
      <w:r w:rsidR="003B6D36">
        <w:rPr>
          <w:color w:val="1B1B1B"/>
        </w:rPr>
        <w:t>relatīvais</w:t>
      </w:r>
      <w:proofErr w:type="spellEnd"/>
      <w:r w:rsidR="003B6D36">
        <w:rPr>
          <w:color w:val="1B1B1B"/>
        </w:rPr>
        <w:t xml:space="preserve"> </w:t>
      </w:r>
      <w:proofErr w:type="spellStart"/>
      <w:r w:rsidR="003B6D36">
        <w:rPr>
          <w:color w:val="1B1B1B"/>
        </w:rPr>
        <w:t>daudzums</w:t>
      </w:r>
      <w:proofErr w:type="spellEnd"/>
      <w:r w:rsidRPr="0041080D">
        <w:rPr>
          <w:color w:val="1B1B1B"/>
        </w:rPr>
        <w:t>,</w:t>
      </w:r>
    </w:p>
    <w:p w14:paraId="258FE1EC" w14:textId="77777777" w:rsidR="0069612E" w:rsidRDefault="00EF25E3" w:rsidP="00EF25E3">
      <w:pPr>
        <w:pStyle w:val="Paraststmeklis"/>
        <w:numPr>
          <w:ilvl w:val="0"/>
          <w:numId w:val="31"/>
        </w:numPr>
        <w:shd w:val="clear" w:color="auto" w:fill="FFFFFF"/>
        <w:spacing w:before="240" w:beforeAutospacing="0" w:after="240" w:afterAutospacing="0"/>
        <w:rPr>
          <w:color w:val="1B1B1B"/>
        </w:rPr>
      </w:pPr>
      <w:proofErr w:type="spellStart"/>
      <w:r w:rsidRPr="0041080D">
        <w:rPr>
          <w:color w:val="1B1B1B"/>
        </w:rPr>
        <w:t>mikrobiotas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atjaunošanās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ir</w:t>
      </w:r>
      <w:proofErr w:type="spellEnd"/>
      <w:r w:rsidRPr="0041080D">
        <w:rPr>
          <w:color w:val="1B1B1B"/>
        </w:rPr>
        <w:t> </w:t>
      </w:r>
      <w:proofErr w:type="spellStart"/>
      <w:r w:rsidRPr="0041080D">
        <w:rPr>
          <w:b/>
          <w:bCs/>
          <w:color w:val="1B1B1B"/>
        </w:rPr>
        <w:t>nepilnīga</w:t>
      </w:r>
      <w:proofErr w:type="spellEnd"/>
      <w:r w:rsidRPr="0041080D">
        <w:rPr>
          <w:color w:val="1B1B1B"/>
        </w:rPr>
        <w:t xml:space="preserve"> pat </w:t>
      </w:r>
      <w:proofErr w:type="spellStart"/>
      <w:r w:rsidRPr="0041080D">
        <w:rPr>
          <w:color w:val="1B1B1B"/>
        </w:rPr>
        <w:t>pēc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vairākām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nedēļām</w:t>
      </w:r>
      <w:proofErr w:type="spellEnd"/>
      <w:r w:rsidRPr="0041080D">
        <w:rPr>
          <w:color w:val="1B1B1B"/>
        </w:rPr>
        <w:t>.</w:t>
      </w:r>
      <w:r w:rsidRPr="0041080D">
        <w:rPr>
          <w:color w:val="1B1B1B"/>
        </w:rPr>
        <w:br/>
      </w:r>
    </w:p>
    <w:p w14:paraId="6114D326" w14:textId="4C5BEB70" w:rsidR="007D4FEE" w:rsidRDefault="00914800" w:rsidP="007D4FEE">
      <w:pPr>
        <w:pStyle w:val="Paraststmeklis"/>
      </w:pPr>
      <w:proofErr w:type="spellStart"/>
      <w:r>
        <w:rPr>
          <w:color w:val="1B1B1B"/>
        </w:rPr>
        <w:lastRenderedPageBreak/>
        <w:t>Tātad</w:t>
      </w:r>
      <w:proofErr w:type="spellEnd"/>
      <w:r w:rsidR="00EF25E3" w:rsidRPr="0041080D">
        <w:rPr>
          <w:color w:val="1B1B1B"/>
        </w:rPr>
        <w:t xml:space="preserve"> </w:t>
      </w:r>
      <w:proofErr w:type="spellStart"/>
      <w:r w:rsidR="00EF25E3" w:rsidRPr="0041080D">
        <w:rPr>
          <w:color w:val="1B1B1B"/>
        </w:rPr>
        <w:t>antibakteriālā</w:t>
      </w:r>
      <w:proofErr w:type="spellEnd"/>
      <w:r w:rsidR="00EF25E3" w:rsidRPr="0041080D">
        <w:rPr>
          <w:color w:val="1B1B1B"/>
        </w:rPr>
        <w:t xml:space="preserve"> </w:t>
      </w:r>
      <w:proofErr w:type="spellStart"/>
      <w:r w:rsidR="00EF25E3" w:rsidRPr="0041080D">
        <w:rPr>
          <w:color w:val="1B1B1B"/>
        </w:rPr>
        <w:t>terapija</w:t>
      </w:r>
      <w:proofErr w:type="spellEnd"/>
      <w:r w:rsidR="00EF25E3" w:rsidRPr="0041080D">
        <w:rPr>
          <w:color w:val="1B1B1B"/>
        </w:rPr>
        <w:t xml:space="preserve"> </w:t>
      </w:r>
      <w:proofErr w:type="spellStart"/>
      <w:r w:rsidR="00EF25E3" w:rsidRPr="0041080D">
        <w:rPr>
          <w:color w:val="1B1B1B"/>
        </w:rPr>
        <w:t>bērniem</w:t>
      </w:r>
      <w:proofErr w:type="spellEnd"/>
      <w:r w:rsidR="00EF25E3" w:rsidRPr="0041080D">
        <w:rPr>
          <w:color w:val="1B1B1B"/>
        </w:rPr>
        <w:t xml:space="preserve"> </w:t>
      </w:r>
      <w:proofErr w:type="spellStart"/>
      <w:r w:rsidR="00EF25E3" w:rsidRPr="0041080D">
        <w:rPr>
          <w:color w:val="1B1B1B"/>
        </w:rPr>
        <w:t>izraisa</w:t>
      </w:r>
      <w:proofErr w:type="spellEnd"/>
      <w:r>
        <w:rPr>
          <w:color w:val="1B1B1B"/>
        </w:rPr>
        <w:t xml:space="preserve"> </w:t>
      </w:r>
      <w:proofErr w:type="spellStart"/>
      <w:r w:rsidR="00EF25E3" w:rsidRPr="0041080D">
        <w:rPr>
          <w:b/>
          <w:bCs/>
          <w:color w:val="1B1B1B"/>
        </w:rPr>
        <w:t>strauju</w:t>
      </w:r>
      <w:proofErr w:type="spellEnd"/>
      <w:r w:rsidR="00EF25E3" w:rsidRPr="0041080D">
        <w:rPr>
          <w:b/>
          <w:bCs/>
          <w:color w:val="1B1B1B"/>
        </w:rPr>
        <w:t xml:space="preserve"> </w:t>
      </w:r>
      <w:proofErr w:type="spellStart"/>
      <w:r w:rsidR="00EF25E3" w:rsidRPr="0041080D">
        <w:rPr>
          <w:b/>
          <w:bCs/>
          <w:color w:val="1B1B1B"/>
        </w:rPr>
        <w:t>labvēlīgo</w:t>
      </w:r>
      <w:proofErr w:type="spellEnd"/>
      <w:r w:rsidR="00EF25E3" w:rsidRPr="0041080D">
        <w:rPr>
          <w:b/>
          <w:bCs/>
          <w:color w:val="1B1B1B"/>
        </w:rPr>
        <w:t xml:space="preserve"> </w:t>
      </w:r>
      <w:proofErr w:type="spellStart"/>
      <w:r w:rsidR="00EF25E3" w:rsidRPr="0041080D">
        <w:rPr>
          <w:b/>
          <w:bCs/>
          <w:color w:val="1B1B1B"/>
        </w:rPr>
        <w:t>anaerobo</w:t>
      </w:r>
      <w:proofErr w:type="spellEnd"/>
      <w:r w:rsidR="00EF25E3" w:rsidRPr="0041080D">
        <w:rPr>
          <w:b/>
          <w:bCs/>
          <w:color w:val="1B1B1B"/>
        </w:rPr>
        <w:t xml:space="preserve"> </w:t>
      </w:r>
      <w:proofErr w:type="spellStart"/>
      <w:r w:rsidR="00EF25E3" w:rsidRPr="0041080D">
        <w:rPr>
          <w:b/>
          <w:bCs/>
          <w:color w:val="1B1B1B"/>
        </w:rPr>
        <w:t>baktēriju</w:t>
      </w:r>
      <w:proofErr w:type="spellEnd"/>
      <w:r w:rsidR="00EF25E3" w:rsidRPr="0041080D">
        <w:rPr>
          <w:b/>
          <w:bCs/>
          <w:color w:val="1B1B1B"/>
        </w:rPr>
        <w:t xml:space="preserve"> </w:t>
      </w:r>
      <w:proofErr w:type="spellStart"/>
      <w:r w:rsidR="00EF25E3" w:rsidRPr="0041080D">
        <w:rPr>
          <w:b/>
          <w:bCs/>
          <w:color w:val="1B1B1B"/>
        </w:rPr>
        <w:t>kritumu</w:t>
      </w:r>
      <w:proofErr w:type="spellEnd"/>
      <w:r w:rsidR="00EF25E3" w:rsidRPr="0041080D">
        <w:rPr>
          <w:color w:val="1B1B1B"/>
        </w:rPr>
        <w:t>,</w:t>
      </w:r>
      <w:r>
        <w:rPr>
          <w:color w:val="1B1B1B"/>
        </w:rPr>
        <w:t xml:space="preserve"> kas </w:t>
      </w:r>
      <w:proofErr w:type="spellStart"/>
      <w:r>
        <w:rPr>
          <w:color w:val="1B1B1B"/>
        </w:rPr>
        <w:t>kombinājas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ar</w:t>
      </w:r>
      <w:proofErr w:type="spellEnd"/>
      <w:r>
        <w:rPr>
          <w:color w:val="1B1B1B"/>
        </w:rPr>
        <w:t xml:space="preserve"> </w:t>
      </w:r>
      <w:proofErr w:type="spellStart"/>
      <w:r w:rsidR="00EF25E3" w:rsidRPr="0041080D">
        <w:rPr>
          <w:b/>
          <w:bCs/>
          <w:color w:val="1B1B1B"/>
        </w:rPr>
        <w:t>oportūnist</w:t>
      </w:r>
      <w:r>
        <w:rPr>
          <w:b/>
          <w:bCs/>
          <w:color w:val="1B1B1B"/>
        </w:rPr>
        <w:t>isku</w:t>
      </w:r>
      <w:proofErr w:type="spellEnd"/>
      <w:r>
        <w:rPr>
          <w:b/>
          <w:bCs/>
          <w:color w:val="1B1B1B"/>
        </w:rPr>
        <w:t xml:space="preserve"> </w:t>
      </w:r>
      <w:proofErr w:type="spellStart"/>
      <w:r>
        <w:rPr>
          <w:b/>
          <w:bCs/>
          <w:color w:val="1B1B1B"/>
        </w:rPr>
        <w:t>baktēriju</w:t>
      </w:r>
      <w:proofErr w:type="spellEnd"/>
      <w:r w:rsidR="00EF25E3" w:rsidRPr="0041080D">
        <w:rPr>
          <w:b/>
          <w:bCs/>
          <w:color w:val="1B1B1B"/>
        </w:rPr>
        <w:t xml:space="preserve"> </w:t>
      </w:r>
      <w:proofErr w:type="spellStart"/>
      <w:r w:rsidR="00EF25E3" w:rsidRPr="0041080D">
        <w:rPr>
          <w:b/>
          <w:bCs/>
          <w:color w:val="1B1B1B"/>
        </w:rPr>
        <w:t>relatīvā</w:t>
      </w:r>
      <w:proofErr w:type="spellEnd"/>
      <w:r w:rsidR="00EF25E3" w:rsidRPr="0041080D">
        <w:rPr>
          <w:b/>
          <w:bCs/>
          <w:color w:val="1B1B1B"/>
        </w:rPr>
        <w:t xml:space="preserve"> </w:t>
      </w:r>
      <w:proofErr w:type="spellStart"/>
      <w:r w:rsidR="00EF25E3" w:rsidRPr="0041080D">
        <w:rPr>
          <w:b/>
          <w:bCs/>
          <w:color w:val="1B1B1B"/>
        </w:rPr>
        <w:t>īpatsvara</w:t>
      </w:r>
      <w:proofErr w:type="spellEnd"/>
      <w:r w:rsidR="00EF25E3" w:rsidRPr="0041080D">
        <w:rPr>
          <w:b/>
          <w:bCs/>
          <w:color w:val="1B1B1B"/>
        </w:rPr>
        <w:t xml:space="preserve"> </w:t>
      </w:r>
      <w:proofErr w:type="spellStart"/>
      <w:r w:rsidR="00EF25E3" w:rsidRPr="0041080D">
        <w:rPr>
          <w:b/>
          <w:bCs/>
          <w:color w:val="1B1B1B"/>
        </w:rPr>
        <w:t>pieaugumu</w:t>
      </w:r>
      <w:proofErr w:type="spellEnd"/>
      <w:r>
        <w:rPr>
          <w:color w:val="1B1B1B"/>
        </w:rPr>
        <w:t xml:space="preserve">. </w:t>
      </w:r>
      <w:proofErr w:type="spellStart"/>
      <w:r w:rsidR="007D4FEE" w:rsidRPr="00797A53">
        <w:t>Bērniem</w:t>
      </w:r>
      <w:proofErr w:type="spellEnd"/>
      <w:r w:rsidR="007D4FEE" w:rsidRPr="00797A53">
        <w:t xml:space="preserve"> </w:t>
      </w:r>
      <w:proofErr w:type="spellStart"/>
      <w:r w:rsidR="007D4FEE" w:rsidRPr="00797A53">
        <w:t>ar</w:t>
      </w:r>
      <w:proofErr w:type="spellEnd"/>
      <w:r w:rsidR="007D4FEE" w:rsidRPr="00797A53">
        <w:t xml:space="preserve"> </w:t>
      </w:r>
      <w:proofErr w:type="spellStart"/>
      <w:r w:rsidR="007D4FEE" w:rsidRPr="00797A53">
        <w:t>šķidru</w:t>
      </w:r>
      <w:proofErr w:type="spellEnd"/>
      <w:r w:rsidR="007D4FEE" w:rsidRPr="00797A53">
        <w:t xml:space="preserve"> </w:t>
      </w:r>
      <w:proofErr w:type="spellStart"/>
      <w:r w:rsidR="007D4FEE" w:rsidRPr="00797A53">
        <w:t>vēdera</w:t>
      </w:r>
      <w:proofErr w:type="spellEnd"/>
      <w:r w:rsidR="007D4FEE" w:rsidRPr="00797A53">
        <w:t xml:space="preserve"> </w:t>
      </w:r>
      <w:proofErr w:type="spellStart"/>
      <w:r w:rsidR="007D4FEE" w:rsidRPr="00797A53">
        <w:t>izeju</w:t>
      </w:r>
      <w:proofErr w:type="spellEnd"/>
      <w:r w:rsidR="007D4FEE" w:rsidRPr="00797A53">
        <w:t xml:space="preserve"> </w:t>
      </w:r>
      <w:proofErr w:type="spellStart"/>
      <w:r w:rsidR="007D4FEE" w:rsidRPr="00797A53">
        <w:t>novērotas</w:t>
      </w:r>
      <w:proofErr w:type="spellEnd"/>
      <w:r w:rsidR="00D568F6">
        <w:t xml:space="preserve"> </w:t>
      </w:r>
      <w:proofErr w:type="spellStart"/>
      <w:r w:rsidR="00D568F6">
        <w:t>arī</w:t>
      </w:r>
      <w:proofErr w:type="spellEnd"/>
      <w:r w:rsidR="00D568F6">
        <w:t xml:space="preserve"> </w:t>
      </w:r>
      <w:proofErr w:type="spellStart"/>
      <w:r w:rsidR="00D568F6">
        <w:t>specifiskas</w:t>
      </w:r>
      <w:proofErr w:type="spellEnd"/>
      <w:r w:rsidR="007D4FEE" w:rsidRPr="00797A53">
        <w:rPr>
          <w:rStyle w:val="Izteiksmgs"/>
          <w:rFonts w:eastAsiaTheme="majorEastAsia"/>
        </w:rPr>
        <w:t xml:space="preserve"> </w:t>
      </w:r>
      <w:proofErr w:type="spellStart"/>
      <w:r w:rsidR="007D4FEE" w:rsidRPr="00797A53">
        <w:rPr>
          <w:rStyle w:val="Izteiksmgs"/>
          <w:rFonts w:eastAsiaTheme="majorEastAsia"/>
        </w:rPr>
        <w:t>taksonomiskas</w:t>
      </w:r>
      <w:proofErr w:type="spellEnd"/>
      <w:r w:rsidR="007D4FEE" w:rsidRPr="00797A53">
        <w:rPr>
          <w:rStyle w:val="Izteiksmgs"/>
          <w:rFonts w:eastAsiaTheme="majorEastAsia"/>
        </w:rPr>
        <w:t xml:space="preserve"> </w:t>
      </w:r>
      <w:proofErr w:type="spellStart"/>
      <w:r w:rsidR="007D4FEE" w:rsidRPr="00797A53">
        <w:rPr>
          <w:rStyle w:val="Izteiksmgs"/>
          <w:rFonts w:eastAsiaTheme="majorEastAsia"/>
        </w:rPr>
        <w:t>īpatnības</w:t>
      </w:r>
      <w:proofErr w:type="spellEnd"/>
      <w:r w:rsidR="007D4FEE" w:rsidRPr="00797A53">
        <w:rPr>
          <w:rStyle w:val="apple-converted-space"/>
          <w:rFonts w:eastAsiaTheme="majorEastAsia"/>
        </w:rPr>
        <w:t> </w:t>
      </w:r>
      <w:r w:rsidR="007D4FEE" w:rsidRPr="00797A53">
        <w:t>(</w:t>
      </w:r>
      <w:proofErr w:type="spellStart"/>
      <w:r w:rsidR="007D4FEE" w:rsidRPr="00797A53">
        <w:t>zemāks</w:t>
      </w:r>
      <w:proofErr w:type="spellEnd"/>
      <w:r w:rsidR="007D4FEE" w:rsidRPr="00797A53">
        <w:t xml:space="preserve"> </w:t>
      </w:r>
      <w:r w:rsidR="007D4FEE" w:rsidRPr="00F1743B">
        <w:rPr>
          <w:i/>
          <w:iCs/>
        </w:rPr>
        <w:t>Enterobacteriaceae</w:t>
      </w:r>
      <w:r w:rsidR="007D4FEE" w:rsidRPr="00797A53">
        <w:t xml:space="preserve"> </w:t>
      </w:r>
      <w:proofErr w:type="spellStart"/>
      <w:r w:rsidR="00F1743B">
        <w:t>relatīvais</w:t>
      </w:r>
      <w:proofErr w:type="spellEnd"/>
      <w:r w:rsidR="00F1743B">
        <w:t xml:space="preserve"> </w:t>
      </w:r>
      <w:proofErr w:type="spellStart"/>
      <w:r w:rsidR="00F1743B">
        <w:t>daudzums</w:t>
      </w:r>
      <w:proofErr w:type="spellEnd"/>
      <w:r w:rsidR="00F1743B">
        <w:t xml:space="preserve"> </w:t>
      </w:r>
      <w:proofErr w:type="spellStart"/>
      <w:r w:rsidR="007D4FEE" w:rsidRPr="00797A53">
        <w:t>pēc</w:t>
      </w:r>
      <w:proofErr w:type="spellEnd"/>
      <w:r w:rsidR="007D4FEE" w:rsidRPr="00797A53">
        <w:t xml:space="preserve"> </w:t>
      </w:r>
      <w:proofErr w:type="spellStart"/>
      <w:r w:rsidR="007D4FEE" w:rsidRPr="00797A53">
        <w:t>mēneša</w:t>
      </w:r>
      <w:proofErr w:type="spellEnd"/>
      <w:r w:rsidR="007D4FEE" w:rsidRPr="00797A53">
        <w:t xml:space="preserve">; </w:t>
      </w:r>
      <w:proofErr w:type="spellStart"/>
      <w:r w:rsidR="007D4FEE" w:rsidRPr="00797A53">
        <w:t>augstāks</w:t>
      </w:r>
      <w:proofErr w:type="spellEnd"/>
      <w:r w:rsidR="007D4FEE" w:rsidRPr="00797A53">
        <w:t xml:space="preserve"> </w:t>
      </w:r>
      <w:proofErr w:type="spellStart"/>
      <w:r w:rsidR="007D4FEE" w:rsidRPr="00F1743B">
        <w:rPr>
          <w:i/>
          <w:iCs/>
        </w:rPr>
        <w:t>Prevotellaceae</w:t>
      </w:r>
      <w:proofErr w:type="spellEnd"/>
      <w:r w:rsidR="007D4FEE" w:rsidRPr="00797A53">
        <w:t xml:space="preserve"> </w:t>
      </w:r>
      <w:proofErr w:type="spellStart"/>
      <w:r w:rsidR="00F1743B">
        <w:t>relatīvais</w:t>
      </w:r>
      <w:proofErr w:type="spellEnd"/>
      <w:r w:rsidR="00F1743B">
        <w:t xml:space="preserve"> </w:t>
      </w:r>
      <w:proofErr w:type="spellStart"/>
      <w:r w:rsidR="00F1743B">
        <w:t>daudzums</w:t>
      </w:r>
      <w:proofErr w:type="spellEnd"/>
      <w:r w:rsidR="00F1743B">
        <w:t xml:space="preserve"> </w:t>
      </w:r>
      <w:proofErr w:type="spellStart"/>
      <w:r w:rsidR="007D4FEE" w:rsidRPr="00797A53">
        <w:t>pēc</w:t>
      </w:r>
      <w:proofErr w:type="spellEnd"/>
      <w:r w:rsidR="007D4FEE" w:rsidRPr="00797A53">
        <w:t xml:space="preserve"> </w:t>
      </w:r>
      <w:proofErr w:type="spellStart"/>
      <w:r w:rsidR="007D4FEE" w:rsidRPr="00797A53">
        <w:t>nedēļas</w:t>
      </w:r>
      <w:proofErr w:type="spellEnd"/>
      <w:r w:rsidR="007D4FEE" w:rsidRPr="00797A53">
        <w:t>).</w:t>
      </w:r>
    </w:p>
    <w:p w14:paraId="541DF5BF" w14:textId="0A0C15E0" w:rsidR="00D568F6" w:rsidRPr="00D568F6" w:rsidRDefault="00D568F6" w:rsidP="00914800">
      <w:pPr>
        <w:pStyle w:val="Paraststmeklis"/>
        <w:shd w:val="clear" w:color="auto" w:fill="FFFFFF"/>
        <w:spacing w:before="240" w:beforeAutospacing="0" w:after="240" w:afterAutospacing="0"/>
        <w:rPr>
          <w:color w:val="1B1B1B"/>
          <w:lang w:val="lv-LV"/>
        </w:rPr>
      </w:pPr>
      <w:proofErr w:type="spellStart"/>
      <w:r>
        <w:rPr>
          <w:color w:val="1B1B1B"/>
        </w:rPr>
        <w:t>Pārsvarā</w:t>
      </w:r>
      <w:proofErr w:type="spellEnd"/>
      <w:r>
        <w:rPr>
          <w:color w:val="1B1B1B"/>
        </w:rPr>
        <w:t xml:space="preserve"> </w:t>
      </w:r>
      <w:proofErr w:type="spellStart"/>
      <w:r w:rsidR="006137DF">
        <w:rPr>
          <w:color w:val="1B1B1B"/>
        </w:rPr>
        <w:t>zarnu</w:t>
      </w:r>
      <w:proofErr w:type="spellEnd"/>
      <w:r w:rsidR="006137DF">
        <w:rPr>
          <w:color w:val="1B1B1B"/>
        </w:rPr>
        <w:t xml:space="preserve"> </w:t>
      </w:r>
      <w:proofErr w:type="spellStart"/>
      <w:r w:rsidR="006137DF">
        <w:rPr>
          <w:color w:val="1B1B1B"/>
        </w:rPr>
        <w:t>trakta</w:t>
      </w:r>
      <w:proofErr w:type="spellEnd"/>
      <w:r w:rsidR="006137DF">
        <w:rPr>
          <w:color w:val="1B1B1B"/>
        </w:rPr>
        <w:t xml:space="preserve"> </w:t>
      </w:r>
      <w:proofErr w:type="spellStart"/>
      <w:r w:rsidRPr="006137DF">
        <w:rPr>
          <w:color w:val="1B1B1B"/>
        </w:rPr>
        <w:t>mikrobiotas</w:t>
      </w:r>
      <w:proofErr w:type="spellEnd"/>
      <w:r w:rsidRPr="006137DF">
        <w:rPr>
          <w:color w:val="1B1B1B"/>
        </w:rPr>
        <w:t xml:space="preserve"> </w:t>
      </w:r>
      <w:proofErr w:type="spellStart"/>
      <w:r w:rsidRPr="006137DF">
        <w:rPr>
          <w:color w:val="1B1B1B"/>
        </w:rPr>
        <w:t>atjaunošan</w:t>
      </w:r>
      <w:r w:rsidR="00F1743B">
        <w:rPr>
          <w:color w:val="1B1B1B"/>
        </w:rPr>
        <w:t>ā</w:t>
      </w:r>
      <w:r w:rsidRPr="006137DF">
        <w:rPr>
          <w:color w:val="1B1B1B"/>
        </w:rPr>
        <w:t>s</w:t>
      </w:r>
      <w:proofErr w:type="spellEnd"/>
      <w:r w:rsidRPr="006137DF">
        <w:rPr>
          <w:color w:val="1B1B1B"/>
        </w:rPr>
        <w:t xml:space="preserve"> </w:t>
      </w:r>
      <w:proofErr w:type="spellStart"/>
      <w:r w:rsidRPr="006137DF">
        <w:rPr>
          <w:color w:val="1B1B1B"/>
        </w:rPr>
        <w:t>mēneša</w:t>
      </w:r>
      <w:proofErr w:type="spellEnd"/>
      <w:r w:rsidRPr="006137DF">
        <w:rPr>
          <w:color w:val="1B1B1B"/>
        </w:rPr>
        <w:t xml:space="preserve"> </w:t>
      </w:r>
      <w:proofErr w:type="spellStart"/>
      <w:r w:rsidRPr="006137DF">
        <w:rPr>
          <w:color w:val="1B1B1B"/>
        </w:rPr>
        <w:t>laikā</w:t>
      </w:r>
      <w:proofErr w:type="spellEnd"/>
      <w:r w:rsidRPr="006137DF">
        <w:rPr>
          <w:color w:val="1B1B1B"/>
        </w:rPr>
        <w:t xml:space="preserve"> </w:t>
      </w:r>
      <w:proofErr w:type="spellStart"/>
      <w:r w:rsidR="00F1743B">
        <w:rPr>
          <w:color w:val="1B1B1B"/>
        </w:rPr>
        <w:t>pēc</w:t>
      </w:r>
      <w:proofErr w:type="spellEnd"/>
      <w:r w:rsidR="00F1743B">
        <w:rPr>
          <w:color w:val="1B1B1B"/>
        </w:rPr>
        <w:t xml:space="preserve"> </w:t>
      </w:r>
      <w:proofErr w:type="spellStart"/>
      <w:r w:rsidR="00F1743B">
        <w:rPr>
          <w:color w:val="1B1B1B"/>
        </w:rPr>
        <w:t>terapijas</w:t>
      </w:r>
      <w:proofErr w:type="spellEnd"/>
      <w:r w:rsidR="00F1743B">
        <w:rPr>
          <w:color w:val="1B1B1B"/>
        </w:rPr>
        <w:t xml:space="preserve"> </w:t>
      </w:r>
      <w:proofErr w:type="spellStart"/>
      <w:r w:rsidRPr="006137DF">
        <w:rPr>
          <w:color w:val="1B1B1B"/>
        </w:rPr>
        <w:t>ir</w:t>
      </w:r>
      <w:proofErr w:type="spellEnd"/>
      <w:r w:rsidRPr="006137DF">
        <w:rPr>
          <w:color w:val="1B1B1B"/>
        </w:rPr>
        <w:t xml:space="preserve"> </w:t>
      </w:r>
      <w:proofErr w:type="spellStart"/>
      <w:r w:rsidRPr="006137DF">
        <w:rPr>
          <w:color w:val="1B1B1B"/>
        </w:rPr>
        <w:t>nepilnīga</w:t>
      </w:r>
      <w:proofErr w:type="spellEnd"/>
      <w:r>
        <w:rPr>
          <w:b/>
          <w:bCs/>
          <w:color w:val="1B1B1B"/>
        </w:rPr>
        <w:t xml:space="preserve">, </w:t>
      </w:r>
      <w:proofErr w:type="spellStart"/>
      <w:r>
        <w:rPr>
          <w:b/>
          <w:bCs/>
          <w:color w:val="1B1B1B"/>
        </w:rPr>
        <w:t>sistemātiskajā</w:t>
      </w:r>
      <w:proofErr w:type="spellEnd"/>
      <w:r>
        <w:rPr>
          <w:b/>
          <w:bCs/>
          <w:color w:val="1B1B1B"/>
        </w:rPr>
        <w:t xml:space="preserve"> </w:t>
      </w:r>
      <w:proofErr w:type="spellStart"/>
      <w:r>
        <w:rPr>
          <w:b/>
          <w:bCs/>
          <w:color w:val="1B1B1B"/>
        </w:rPr>
        <w:t>pārskatā</w:t>
      </w:r>
      <w:proofErr w:type="spellEnd"/>
      <w:r>
        <w:rPr>
          <w:b/>
          <w:bCs/>
          <w:color w:val="1B1B1B"/>
        </w:rPr>
        <w:t xml:space="preserve"> </w:t>
      </w:r>
      <w:proofErr w:type="spellStart"/>
      <w:r>
        <w:rPr>
          <w:b/>
          <w:bCs/>
          <w:color w:val="1B1B1B"/>
        </w:rPr>
        <w:t>konstatēts</w:t>
      </w:r>
      <w:proofErr w:type="spellEnd"/>
      <w:r w:rsidRPr="00F432E3">
        <w:rPr>
          <w:i/>
          <w:iCs/>
          <w:color w:val="1B1B1B"/>
        </w:rPr>
        <w:t xml:space="preserve"> Bifidobacterium</w:t>
      </w:r>
      <w:r w:rsidRPr="00EF25E3">
        <w:rPr>
          <w:color w:val="1B1B1B"/>
        </w:rPr>
        <w:t xml:space="preserve"> </w:t>
      </w:r>
      <w:proofErr w:type="spellStart"/>
      <w:r w:rsidRPr="00EF25E3">
        <w:rPr>
          <w:color w:val="1B1B1B"/>
        </w:rPr>
        <w:t>samazinājums</w:t>
      </w:r>
      <w:proofErr w:type="spellEnd"/>
      <w:r w:rsidRPr="00EF25E3">
        <w:rPr>
          <w:color w:val="1B1B1B"/>
        </w:rPr>
        <w:t xml:space="preserve"> pat 2–6 </w:t>
      </w:r>
      <w:proofErr w:type="spellStart"/>
      <w:r w:rsidRPr="00EF25E3">
        <w:rPr>
          <w:color w:val="1B1B1B"/>
        </w:rPr>
        <w:t>mēneš</w:t>
      </w:r>
      <w:r>
        <w:rPr>
          <w:color w:val="1B1B1B"/>
        </w:rPr>
        <w:t>us</w:t>
      </w:r>
      <w:proofErr w:type="spellEnd"/>
      <w:r w:rsidRPr="00EF25E3">
        <w:rPr>
          <w:color w:val="1B1B1B"/>
        </w:rPr>
        <w:t xml:space="preserve"> </w:t>
      </w:r>
      <w:proofErr w:type="spellStart"/>
      <w:r>
        <w:rPr>
          <w:color w:val="1B1B1B"/>
        </w:rPr>
        <w:t>pēc</w:t>
      </w:r>
      <w:proofErr w:type="spellEnd"/>
      <w:r>
        <w:rPr>
          <w:color w:val="1B1B1B"/>
        </w:rPr>
        <w:t xml:space="preserve"> AB </w:t>
      </w:r>
      <w:proofErr w:type="spellStart"/>
      <w:r>
        <w:rPr>
          <w:color w:val="1B1B1B"/>
        </w:rPr>
        <w:t>terapijas</w:t>
      </w:r>
      <w:proofErr w:type="spellEnd"/>
      <w:r>
        <w:rPr>
          <w:color w:val="1B1B1B"/>
        </w:rPr>
        <w:t xml:space="preserve"> </w:t>
      </w:r>
      <w:r w:rsidR="00DF0588">
        <w:rPr>
          <w:color w:val="1B1B1B"/>
        </w:rPr>
        <w:t>[</w:t>
      </w:r>
      <w:proofErr w:type="spellStart"/>
      <w:r w:rsidR="00DF0588">
        <w:rPr>
          <w:color w:val="1B1B1B"/>
          <w:lang w:val="lv-LV"/>
        </w:rPr>
        <w:t>Zimmermann</w:t>
      </w:r>
      <w:proofErr w:type="spellEnd"/>
      <w:r w:rsidR="00DF0588">
        <w:rPr>
          <w:color w:val="1B1B1B"/>
          <w:lang w:val="lv-LV"/>
        </w:rPr>
        <w:t xml:space="preserve"> </w:t>
      </w:r>
      <w:proofErr w:type="spellStart"/>
      <w:r w:rsidR="00DF0588">
        <w:rPr>
          <w:color w:val="1B1B1B"/>
          <w:lang w:val="lv-LV"/>
        </w:rPr>
        <w:t>et</w:t>
      </w:r>
      <w:proofErr w:type="spellEnd"/>
      <w:r w:rsidR="00DF0588">
        <w:rPr>
          <w:color w:val="1B1B1B"/>
          <w:lang w:val="lv-LV"/>
        </w:rPr>
        <w:t xml:space="preserve"> </w:t>
      </w:r>
      <w:proofErr w:type="spellStart"/>
      <w:r w:rsidR="00DF0588">
        <w:rPr>
          <w:color w:val="1B1B1B"/>
          <w:lang w:val="lv-LV"/>
        </w:rPr>
        <w:t>al</w:t>
      </w:r>
      <w:proofErr w:type="spellEnd"/>
      <w:r w:rsidR="00DF0588">
        <w:rPr>
          <w:color w:val="1B1B1B"/>
          <w:lang w:val="lv-LV"/>
        </w:rPr>
        <w:t>, 2019</w:t>
      </w:r>
      <w:r w:rsidR="00DF0588">
        <w:rPr>
          <w:color w:val="1B1B1B"/>
        </w:rPr>
        <w:t>; Wurm et al, 2024]</w:t>
      </w:r>
      <w:r>
        <w:rPr>
          <w:color w:val="1B1B1B"/>
        </w:rPr>
        <w:t xml:space="preserve">. </w:t>
      </w:r>
      <w:proofErr w:type="spellStart"/>
      <w:r>
        <w:t>Turklāt</w:t>
      </w:r>
      <w:proofErr w:type="spellEnd"/>
      <w:r>
        <w:t xml:space="preserve"> </w:t>
      </w:r>
      <w:proofErr w:type="spellStart"/>
      <w:r w:rsidRPr="00797A53">
        <w:t>agrīnā</w:t>
      </w:r>
      <w:proofErr w:type="spellEnd"/>
      <w:r w:rsidRPr="00797A53">
        <w:t xml:space="preserve"> </w:t>
      </w:r>
      <w:proofErr w:type="spellStart"/>
      <w:r w:rsidRPr="00797A53">
        <w:t>vecumā</w:t>
      </w:r>
      <w:proofErr w:type="spellEnd"/>
      <w:r w:rsidRPr="00797A53">
        <w:t xml:space="preserve"> </w:t>
      </w:r>
      <w:proofErr w:type="spellStart"/>
      <w:r w:rsidRPr="00797A53">
        <w:t>šīs</w:t>
      </w:r>
      <w:proofErr w:type="spellEnd"/>
      <w:r w:rsidRPr="00797A53">
        <w:t xml:space="preserve"> </w:t>
      </w:r>
      <w:proofErr w:type="spellStart"/>
      <w:r w:rsidRPr="00797A53">
        <w:t>svārstības</w:t>
      </w:r>
      <w:proofErr w:type="spellEnd"/>
      <w:r w:rsidRPr="00797A53">
        <w:t xml:space="preserve"> var </w:t>
      </w:r>
      <w:proofErr w:type="spellStart"/>
      <w:r w:rsidRPr="00797A53">
        <w:t>būt</w:t>
      </w:r>
      <w:proofErr w:type="spellEnd"/>
      <w:r w:rsidRPr="00797A53">
        <w:t xml:space="preserve"> </w:t>
      </w:r>
      <w:proofErr w:type="spellStart"/>
      <w:r w:rsidRPr="00797A53">
        <w:t>klīniski</w:t>
      </w:r>
      <w:proofErr w:type="spellEnd"/>
      <w:r w:rsidRPr="00797A53">
        <w:t xml:space="preserve"> </w:t>
      </w:r>
      <w:proofErr w:type="spellStart"/>
      <w:r w:rsidRPr="00797A53">
        <w:t>nozīmīgas</w:t>
      </w:r>
      <w:proofErr w:type="spellEnd"/>
      <w:r w:rsidRPr="00797A53">
        <w:t>.</w:t>
      </w:r>
      <w:r w:rsidRPr="00D568F6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Atsevišķi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autori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norāda</w:t>
      </w:r>
      <w:proofErr w:type="spellEnd"/>
      <w:r w:rsidRPr="0041080D">
        <w:rPr>
          <w:color w:val="1B1B1B"/>
        </w:rPr>
        <w:t xml:space="preserve">, ka </w:t>
      </w:r>
      <w:proofErr w:type="spellStart"/>
      <w:r w:rsidRPr="0041080D">
        <w:rPr>
          <w:color w:val="1B1B1B"/>
        </w:rPr>
        <w:t>atkārtoti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antibiotiku</w:t>
      </w:r>
      <w:proofErr w:type="spellEnd"/>
      <w:r w:rsidRPr="0041080D"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kursi</w:t>
      </w:r>
      <w:proofErr w:type="spellEnd"/>
      <w:r w:rsidRPr="0041080D">
        <w:rPr>
          <w:color w:val="1B1B1B"/>
        </w:rPr>
        <w:t xml:space="preserve"> var </w:t>
      </w:r>
      <w:proofErr w:type="spellStart"/>
      <w:r w:rsidRPr="0041080D">
        <w:rPr>
          <w:color w:val="1B1B1B"/>
        </w:rPr>
        <w:t>atstāt</w:t>
      </w:r>
      <w:proofErr w:type="spellEnd"/>
      <w:r w:rsidRPr="0041080D">
        <w:rPr>
          <w:color w:val="1B1B1B"/>
        </w:rPr>
        <w:t> </w:t>
      </w:r>
      <w:proofErr w:type="spellStart"/>
      <w:r w:rsidRPr="0041080D">
        <w:rPr>
          <w:b/>
          <w:bCs/>
          <w:color w:val="1B1B1B"/>
        </w:rPr>
        <w:t>noturīgas</w:t>
      </w:r>
      <w:proofErr w:type="spellEnd"/>
      <w:r w:rsidRPr="0041080D">
        <w:rPr>
          <w:b/>
          <w:bCs/>
          <w:color w:val="1B1B1B"/>
        </w:rPr>
        <w:t xml:space="preserve"> </w:t>
      </w:r>
      <w:proofErr w:type="spellStart"/>
      <w:r w:rsidRPr="0041080D">
        <w:rPr>
          <w:b/>
          <w:bCs/>
          <w:color w:val="1B1B1B"/>
        </w:rPr>
        <w:t>nobīdes</w:t>
      </w:r>
      <w:proofErr w:type="spellEnd"/>
      <w:r w:rsidRPr="0041080D">
        <w:rPr>
          <w:b/>
          <w:bCs/>
          <w:color w:val="1B1B1B"/>
        </w:rPr>
        <w:t xml:space="preserve"> </w:t>
      </w:r>
      <w:proofErr w:type="spellStart"/>
      <w:r w:rsidRPr="0041080D">
        <w:rPr>
          <w:b/>
          <w:bCs/>
          <w:color w:val="1B1B1B"/>
        </w:rPr>
        <w:t>mikrobiotā</w:t>
      </w:r>
      <w:proofErr w:type="spellEnd"/>
      <w:r w:rsidRPr="0041080D">
        <w:rPr>
          <w:color w:val="1B1B1B"/>
        </w:rPr>
        <w:t>, kas</w:t>
      </w:r>
      <w:r>
        <w:rPr>
          <w:color w:val="1B1B1B"/>
        </w:rPr>
        <w:t xml:space="preserve">, </w:t>
      </w:r>
      <w:proofErr w:type="spellStart"/>
      <w:r>
        <w:rPr>
          <w:color w:val="1B1B1B"/>
        </w:rPr>
        <w:t>iespējams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saistītas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ar</w:t>
      </w:r>
      <w:proofErr w:type="spellEnd"/>
      <w:r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metabol</w:t>
      </w:r>
      <w:r>
        <w:rPr>
          <w:color w:val="1B1B1B"/>
        </w:rPr>
        <w:t>u</w:t>
      </w:r>
      <w:proofErr w:type="spellEnd"/>
      <w:r>
        <w:rPr>
          <w:color w:val="1B1B1B"/>
        </w:rPr>
        <w:t xml:space="preserve"> un </w:t>
      </w:r>
      <w:proofErr w:type="spellStart"/>
      <w:r>
        <w:rPr>
          <w:color w:val="1B1B1B"/>
        </w:rPr>
        <w:t>autoimūnu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slimību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attīstību</w:t>
      </w:r>
      <w:proofErr w:type="spellEnd"/>
      <w:r>
        <w:rPr>
          <w:color w:val="1B1B1B"/>
        </w:rPr>
        <w:t xml:space="preserve"> </w:t>
      </w:r>
      <w:proofErr w:type="spellStart"/>
      <w:r w:rsidRPr="0041080D">
        <w:rPr>
          <w:color w:val="1B1B1B"/>
        </w:rPr>
        <w:t>vēlāk</w:t>
      </w:r>
      <w:proofErr w:type="spellEnd"/>
      <w:r>
        <w:rPr>
          <w:color w:val="1B1B1B"/>
        </w:rPr>
        <w:t xml:space="preserve"> [</w:t>
      </w:r>
      <w:r w:rsidR="009654D1">
        <w:rPr>
          <w:color w:val="1B1B1B"/>
        </w:rPr>
        <w:t>6;1</w:t>
      </w:r>
      <w:r w:rsidR="009B4593">
        <w:rPr>
          <w:color w:val="1B1B1B"/>
        </w:rPr>
        <w:t>4</w:t>
      </w:r>
      <w:r>
        <w:rPr>
          <w:color w:val="1B1B1B"/>
        </w:rPr>
        <w:t>].</w:t>
      </w:r>
    </w:p>
    <w:p w14:paraId="45F7B502" w14:textId="77777777" w:rsidR="00EF25E3" w:rsidRPr="00EF25E3" w:rsidRDefault="00EF25E3" w:rsidP="00EF25E3">
      <w:pPr>
        <w:rPr>
          <w:lang w:val="lv-LV"/>
        </w:rPr>
      </w:pPr>
    </w:p>
    <w:p w14:paraId="738DC987" w14:textId="0802F6C5" w:rsidR="00D02649" w:rsidRDefault="003B6D36" w:rsidP="006C5989">
      <w:pPr>
        <w:pStyle w:val="Virsraksts2"/>
        <w:rPr>
          <w:rFonts w:ascii="Times New Roman" w:hAnsi="Times New Roman" w:cs="Times New Roman"/>
          <w:lang w:val="lv-LV"/>
        </w:rPr>
      </w:pPr>
      <w:bookmarkStart w:id="17" w:name="_Toc210136825"/>
      <w:bookmarkStart w:id="18" w:name="_Toc214625080"/>
      <w:r>
        <w:rPr>
          <w:rFonts w:ascii="Times New Roman" w:hAnsi="Times New Roman" w:cs="Times New Roman"/>
          <w:lang w:val="lv-LV"/>
        </w:rPr>
        <w:t>Antibiotiku izraisīta caureja</w:t>
      </w:r>
      <w:r w:rsidR="00F76B78">
        <w:rPr>
          <w:rFonts w:ascii="Times New Roman" w:hAnsi="Times New Roman" w:cs="Times New Roman"/>
          <w:lang w:val="lv-LV"/>
        </w:rPr>
        <w:t>: d</w:t>
      </w:r>
      <w:r w:rsidR="00D02649" w:rsidRPr="000803F8">
        <w:rPr>
          <w:rFonts w:ascii="Times New Roman" w:hAnsi="Times New Roman" w:cs="Times New Roman"/>
          <w:lang w:val="lv-LV"/>
        </w:rPr>
        <w:t>efinīcija</w:t>
      </w:r>
      <w:bookmarkEnd w:id="13"/>
      <w:bookmarkEnd w:id="17"/>
      <w:bookmarkEnd w:id="18"/>
    </w:p>
    <w:p w14:paraId="59A32600" w14:textId="349C596E" w:rsidR="003B6D36" w:rsidRPr="00F64558" w:rsidRDefault="003B6D36" w:rsidP="003B6D36">
      <w:pPr>
        <w:rPr>
          <w:rFonts w:ascii="Times New Roman" w:hAnsi="Times New Roman" w:cs="Times New Roman"/>
          <w:lang w:val="lv-LV"/>
        </w:rPr>
      </w:pPr>
      <w:r w:rsidRPr="00F64558">
        <w:rPr>
          <w:rFonts w:ascii="Times New Roman" w:hAnsi="Times New Roman" w:cs="Times New Roman"/>
          <w:lang w:val="lv-LV"/>
        </w:rPr>
        <w:t xml:space="preserve">Antibiotiku izraisīta caureja ir viena no biežākajām izmainītas </w:t>
      </w:r>
      <w:r w:rsidR="007B5278" w:rsidRPr="00F64558">
        <w:rPr>
          <w:rFonts w:ascii="Times New Roman" w:hAnsi="Times New Roman" w:cs="Times New Roman"/>
          <w:lang w:val="lv-LV"/>
        </w:rPr>
        <w:t xml:space="preserve">zarnu </w:t>
      </w:r>
      <w:proofErr w:type="spellStart"/>
      <w:r w:rsidRPr="00F64558">
        <w:rPr>
          <w:rFonts w:ascii="Times New Roman" w:hAnsi="Times New Roman" w:cs="Times New Roman"/>
          <w:lang w:val="lv-LV"/>
        </w:rPr>
        <w:t>mikrobiotas</w:t>
      </w:r>
      <w:proofErr w:type="spellEnd"/>
      <w:r w:rsidRPr="00F64558">
        <w:rPr>
          <w:rFonts w:ascii="Times New Roman" w:hAnsi="Times New Roman" w:cs="Times New Roman"/>
          <w:lang w:val="lv-LV"/>
        </w:rPr>
        <w:t xml:space="preserve"> </w:t>
      </w:r>
      <w:r w:rsidR="007B5278" w:rsidRPr="00F64558">
        <w:rPr>
          <w:rFonts w:ascii="Times New Roman" w:hAnsi="Times New Roman" w:cs="Times New Roman"/>
          <w:lang w:val="lv-LV"/>
        </w:rPr>
        <w:t>izpausmēm</w:t>
      </w:r>
      <w:r w:rsidRPr="00F64558">
        <w:rPr>
          <w:rFonts w:ascii="Times New Roman" w:hAnsi="Times New Roman" w:cs="Times New Roman"/>
          <w:lang w:val="lv-LV"/>
        </w:rPr>
        <w:t xml:space="preserve">. </w:t>
      </w:r>
    </w:p>
    <w:p w14:paraId="44DED211" w14:textId="2EA2B7FB" w:rsidR="00E11915" w:rsidRPr="005C591D" w:rsidRDefault="006E563B" w:rsidP="00E11915">
      <w:pPr>
        <w:rPr>
          <w:rFonts w:ascii="Times New Roman" w:hAnsi="Times New Roman" w:cs="Times New Roman"/>
          <w:color w:val="1B1B1B"/>
          <w:shd w:val="clear" w:color="auto" w:fill="FFFFFF"/>
          <w:lang w:val="lv-LV"/>
        </w:rPr>
      </w:pPr>
      <w:r>
        <w:rPr>
          <w:rFonts w:ascii="Times New Roman" w:hAnsi="Times New Roman" w:cs="Times New Roman"/>
          <w:noProof/>
          <w:color w:val="1B1B1B"/>
          <w:lang w:val="lv-LV" w:eastAsia="lv-LV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E81A798" wp14:editId="3183F6E0">
                <wp:simplePos x="0" y="0"/>
                <wp:positionH relativeFrom="column">
                  <wp:posOffset>387927</wp:posOffset>
                </wp:positionH>
                <wp:positionV relativeFrom="paragraph">
                  <wp:posOffset>231314</wp:posOffset>
                </wp:positionV>
                <wp:extent cx="5707668" cy="868218"/>
                <wp:effectExtent l="12700" t="12700" r="7620" b="8255"/>
                <wp:wrapNone/>
                <wp:docPr id="8936814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668" cy="86821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326F0" w14:textId="2BB0744B" w:rsidR="006E563B" w:rsidRPr="006E563B" w:rsidRDefault="006E563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563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B1B1B"/>
                                <w:sz w:val="24"/>
                                <w:szCs w:val="24"/>
                                <w:shd w:val="clear" w:color="auto" w:fill="FFFFFF"/>
                                <w:lang w:val="lv-LV"/>
                              </w:rPr>
                              <w:t>Antibiotiku izraisīta caureja (AIC)</w:t>
                            </w:r>
                            <w:r w:rsidRPr="006E563B">
                              <w:rPr>
                                <w:rFonts w:ascii="Times New Roman" w:hAnsi="Times New Roman" w:cs="Times New Roman"/>
                                <w:color w:val="1B1B1B"/>
                                <w:sz w:val="24"/>
                                <w:szCs w:val="24"/>
                                <w:shd w:val="clear" w:color="auto" w:fill="FFFFFF"/>
                                <w:lang w:val="lv-LV"/>
                              </w:rPr>
                              <w:t> tiek definēta kā mīkstas vai šķidras konsistences vēdera izeja vismaz </w:t>
                            </w:r>
                            <w:r w:rsidRPr="006E563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B1B1B"/>
                                <w:sz w:val="24"/>
                                <w:szCs w:val="24"/>
                                <w:shd w:val="clear" w:color="auto" w:fill="FFFFFF"/>
                                <w:lang w:val="lv-LV"/>
                              </w:rPr>
                              <w:t>≥3 reizes diennaktī</w:t>
                            </w:r>
                            <w:r w:rsidRPr="006E563B">
                              <w:rPr>
                                <w:rFonts w:ascii="Times New Roman" w:hAnsi="Times New Roman" w:cs="Times New Roman"/>
                                <w:color w:val="1B1B1B"/>
                                <w:sz w:val="24"/>
                                <w:szCs w:val="24"/>
                                <w:shd w:val="clear" w:color="auto" w:fill="FFFFFF"/>
                                <w:lang w:val="lv-LV"/>
                              </w:rPr>
                              <w:t> un vismaz </w:t>
                            </w:r>
                            <w:r w:rsidRPr="006E563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B1B1B"/>
                                <w:sz w:val="24"/>
                                <w:szCs w:val="24"/>
                                <w:shd w:val="clear" w:color="auto" w:fill="FFFFFF"/>
                                <w:lang w:val="lv-LV"/>
                              </w:rPr>
                              <w:t>divas dienas pēc kārtas</w:t>
                            </w:r>
                            <w:r w:rsidRPr="006E563B">
                              <w:rPr>
                                <w:rFonts w:ascii="Times New Roman" w:hAnsi="Times New Roman" w:cs="Times New Roman"/>
                                <w:color w:val="1B1B1B"/>
                                <w:sz w:val="24"/>
                                <w:szCs w:val="24"/>
                                <w:shd w:val="clear" w:color="auto" w:fill="FFFFFF"/>
                                <w:lang w:val="lv-LV"/>
                              </w:rPr>
                              <w:t>, kas sākas </w:t>
                            </w:r>
                            <w:r w:rsidRPr="006E563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B1B1B"/>
                                <w:sz w:val="24"/>
                                <w:szCs w:val="24"/>
                                <w:shd w:val="clear" w:color="auto" w:fill="FFFFFF"/>
                                <w:lang w:val="lv-LV"/>
                              </w:rPr>
                              <w:t>antibiotiku lietošanas laikā</w:t>
                            </w:r>
                            <w:r w:rsidRPr="006E563B">
                              <w:rPr>
                                <w:rFonts w:ascii="Times New Roman" w:hAnsi="Times New Roman" w:cs="Times New Roman"/>
                                <w:color w:val="1B1B1B"/>
                                <w:sz w:val="24"/>
                                <w:szCs w:val="24"/>
                                <w:shd w:val="clear" w:color="auto" w:fill="FFFFFF"/>
                                <w:lang w:val="lv-LV"/>
                              </w:rPr>
                              <w:t> vai </w:t>
                            </w:r>
                            <w:r w:rsidRPr="006E563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B1B1B"/>
                                <w:sz w:val="24"/>
                                <w:szCs w:val="24"/>
                                <w:shd w:val="clear" w:color="auto" w:fill="FFFFFF"/>
                                <w:lang w:val="lv-LV"/>
                              </w:rPr>
                              <w:t>6–8 nedēļu laikā pēc to pārtraukšanas</w:t>
                            </w:r>
                            <w:r w:rsidRPr="006E563B">
                              <w:rPr>
                                <w:rFonts w:ascii="Times New Roman" w:hAnsi="Times New Roman" w:cs="Times New Roman"/>
                                <w:color w:val="1B1B1B"/>
                                <w:sz w:val="24"/>
                                <w:szCs w:val="24"/>
                                <w:shd w:val="clear" w:color="auto" w:fill="FFFFFF"/>
                                <w:lang w:val="lv-LV"/>
                              </w:rPr>
                              <w:t>, ja nav konstatēts cits caurejas iemesls</w:t>
                            </w:r>
                            <w:r w:rsidR="000E16F2">
                              <w:rPr>
                                <w:rFonts w:ascii="Times New Roman" w:hAnsi="Times New Roman" w:cs="Times New Roman"/>
                                <w:color w:val="1B1B1B"/>
                                <w:sz w:val="24"/>
                                <w:szCs w:val="24"/>
                                <w:shd w:val="clear" w:color="auto" w:fill="FFFFFF"/>
                                <w:lang w:val="lv-LV"/>
                              </w:rPr>
                              <w:t xml:space="preserve"> [</w:t>
                            </w:r>
                            <w:r w:rsidR="00DF0588">
                              <w:rPr>
                                <w:rFonts w:ascii="Times New Roman" w:hAnsi="Times New Roman" w:cs="Times New Roman"/>
                                <w:color w:val="1B1B1B"/>
                                <w:sz w:val="24"/>
                                <w:szCs w:val="24"/>
                                <w:shd w:val="clear" w:color="auto" w:fill="FFFFFF"/>
                                <w:lang w:val="lv-LV"/>
                              </w:rPr>
                              <w:t>McFarland et al, 2008</w:t>
                            </w:r>
                            <w:r w:rsidR="000E16F2">
                              <w:rPr>
                                <w:rFonts w:ascii="Times New Roman" w:hAnsi="Times New Roman" w:cs="Times New Roman"/>
                                <w:color w:val="1B1B1B"/>
                                <w:sz w:val="24"/>
                                <w:szCs w:val="24"/>
                                <w:shd w:val="clear" w:color="auto" w:fill="FFFFFF"/>
                                <w:lang w:val="lv-LV"/>
                              </w:rPr>
                              <w:t>]</w:t>
                            </w:r>
                            <w:r w:rsidRPr="006E563B">
                              <w:rPr>
                                <w:rFonts w:ascii="Times New Roman" w:hAnsi="Times New Roman" w:cs="Times New Roman"/>
                                <w:color w:val="1B1B1B"/>
                                <w:sz w:val="24"/>
                                <w:szCs w:val="24"/>
                                <w:shd w:val="clear" w:color="auto" w:fill="FFFFFF"/>
                                <w:lang w:val="lv-LV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1A7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55pt;margin-top:18.2pt;width:449.4pt;height:68.3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" filled="f" strokecolor="red" strokeweight="2.25pt">
                <v:textbox>
                  <w:txbxContent>
                    <w:p w14:paraId="1EE326F0" w14:textId="2BB0744B" w:rsidR="006E563B" w:rsidRPr="006E563B" w:rsidRDefault="006E563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563B">
                        <w:rPr>
                          <w:rFonts w:ascii="Times New Roman" w:hAnsi="Times New Roman" w:cs="Times New Roman"/>
                          <w:b/>
                          <w:bCs/>
                          <w:color w:val="1B1B1B"/>
                          <w:sz w:val="24"/>
                          <w:szCs w:val="24"/>
                          <w:shd w:val="clear" w:color="auto" w:fill="FFFFFF"/>
                          <w:lang w:val="lv-LV"/>
                        </w:rPr>
                        <w:t>Antibiotiku izraisīta caureja (AIC)</w:t>
                      </w:r>
                      <w:r w:rsidRPr="006E563B">
                        <w:rPr>
                          <w:rFonts w:ascii="Times New Roman" w:hAnsi="Times New Roman" w:cs="Times New Roman"/>
                          <w:color w:val="1B1B1B"/>
                          <w:sz w:val="24"/>
                          <w:szCs w:val="24"/>
                          <w:shd w:val="clear" w:color="auto" w:fill="FFFFFF"/>
                          <w:lang w:val="lv-LV"/>
                        </w:rPr>
                        <w:t> tiek definēta kā mīkstas vai šķidras konsistences vēdera izeja vismaz </w:t>
                      </w:r>
                      <w:r w:rsidRPr="006E563B">
                        <w:rPr>
                          <w:rFonts w:ascii="Times New Roman" w:hAnsi="Times New Roman" w:cs="Times New Roman"/>
                          <w:b/>
                          <w:bCs/>
                          <w:color w:val="1B1B1B"/>
                          <w:sz w:val="24"/>
                          <w:szCs w:val="24"/>
                          <w:shd w:val="clear" w:color="auto" w:fill="FFFFFF"/>
                          <w:lang w:val="lv-LV"/>
                        </w:rPr>
                        <w:t>≥3 reizes diennaktī</w:t>
                      </w:r>
                      <w:r w:rsidRPr="006E563B">
                        <w:rPr>
                          <w:rFonts w:ascii="Times New Roman" w:hAnsi="Times New Roman" w:cs="Times New Roman"/>
                          <w:color w:val="1B1B1B"/>
                          <w:sz w:val="24"/>
                          <w:szCs w:val="24"/>
                          <w:shd w:val="clear" w:color="auto" w:fill="FFFFFF"/>
                          <w:lang w:val="lv-LV"/>
                        </w:rPr>
                        <w:t> un vismaz </w:t>
                      </w:r>
                      <w:r w:rsidRPr="006E563B">
                        <w:rPr>
                          <w:rFonts w:ascii="Times New Roman" w:hAnsi="Times New Roman" w:cs="Times New Roman"/>
                          <w:b/>
                          <w:bCs/>
                          <w:color w:val="1B1B1B"/>
                          <w:sz w:val="24"/>
                          <w:szCs w:val="24"/>
                          <w:shd w:val="clear" w:color="auto" w:fill="FFFFFF"/>
                          <w:lang w:val="lv-LV"/>
                        </w:rPr>
                        <w:t>divas dienas pēc kārtas</w:t>
                      </w:r>
                      <w:r w:rsidRPr="006E563B">
                        <w:rPr>
                          <w:rFonts w:ascii="Times New Roman" w:hAnsi="Times New Roman" w:cs="Times New Roman"/>
                          <w:color w:val="1B1B1B"/>
                          <w:sz w:val="24"/>
                          <w:szCs w:val="24"/>
                          <w:shd w:val="clear" w:color="auto" w:fill="FFFFFF"/>
                          <w:lang w:val="lv-LV"/>
                        </w:rPr>
                        <w:t>, kas sākas </w:t>
                      </w:r>
                      <w:r w:rsidRPr="006E563B">
                        <w:rPr>
                          <w:rFonts w:ascii="Times New Roman" w:hAnsi="Times New Roman" w:cs="Times New Roman"/>
                          <w:b/>
                          <w:bCs/>
                          <w:color w:val="1B1B1B"/>
                          <w:sz w:val="24"/>
                          <w:szCs w:val="24"/>
                          <w:shd w:val="clear" w:color="auto" w:fill="FFFFFF"/>
                          <w:lang w:val="lv-LV"/>
                        </w:rPr>
                        <w:t>antibiotiku lietošanas laikā</w:t>
                      </w:r>
                      <w:r w:rsidRPr="006E563B">
                        <w:rPr>
                          <w:rFonts w:ascii="Times New Roman" w:hAnsi="Times New Roman" w:cs="Times New Roman"/>
                          <w:color w:val="1B1B1B"/>
                          <w:sz w:val="24"/>
                          <w:szCs w:val="24"/>
                          <w:shd w:val="clear" w:color="auto" w:fill="FFFFFF"/>
                          <w:lang w:val="lv-LV"/>
                        </w:rPr>
                        <w:t> vai </w:t>
                      </w:r>
                      <w:r w:rsidRPr="006E563B">
                        <w:rPr>
                          <w:rFonts w:ascii="Times New Roman" w:hAnsi="Times New Roman" w:cs="Times New Roman"/>
                          <w:b/>
                          <w:bCs/>
                          <w:color w:val="1B1B1B"/>
                          <w:sz w:val="24"/>
                          <w:szCs w:val="24"/>
                          <w:shd w:val="clear" w:color="auto" w:fill="FFFFFF"/>
                          <w:lang w:val="lv-LV"/>
                        </w:rPr>
                        <w:t>6–8 nedēļu laikā pēc to pārtraukšanas</w:t>
                      </w:r>
                      <w:r w:rsidRPr="006E563B">
                        <w:rPr>
                          <w:rFonts w:ascii="Times New Roman" w:hAnsi="Times New Roman" w:cs="Times New Roman"/>
                          <w:color w:val="1B1B1B"/>
                          <w:sz w:val="24"/>
                          <w:szCs w:val="24"/>
                          <w:shd w:val="clear" w:color="auto" w:fill="FFFFFF"/>
                          <w:lang w:val="lv-LV"/>
                        </w:rPr>
                        <w:t>, ja nav konstatēts cits caurejas iemesls</w:t>
                      </w:r>
                      <w:r w:rsidR="000E16F2">
                        <w:rPr>
                          <w:rFonts w:ascii="Times New Roman" w:hAnsi="Times New Roman" w:cs="Times New Roman"/>
                          <w:color w:val="1B1B1B"/>
                          <w:sz w:val="24"/>
                          <w:szCs w:val="24"/>
                          <w:shd w:val="clear" w:color="auto" w:fill="FFFFFF"/>
                          <w:lang w:val="lv-LV"/>
                        </w:rPr>
                        <w:t xml:space="preserve"> [</w:t>
                      </w:r>
                      <w:r w:rsidR="00DF0588">
                        <w:rPr>
                          <w:rFonts w:ascii="Times New Roman" w:hAnsi="Times New Roman" w:cs="Times New Roman"/>
                          <w:color w:val="1B1B1B"/>
                          <w:sz w:val="24"/>
                          <w:szCs w:val="24"/>
                          <w:shd w:val="clear" w:color="auto" w:fill="FFFFFF"/>
                          <w:lang w:val="lv-LV"/>
                        </w:rPr>
                        <w:t>McFarland et al, 2008</w:t>
                      </w:r>
                      <w:r w:rsidR="000E16F2">
                        <w:rPr>
                          <w:rFonts w:ascii="Times New Roman" w:hAnsi="Times New Roman" w:cs="Times New Roman"/>
                          <w:color w:val="1B1B1B"/>
                          <w:sz w:val="24"/>
                          <w:szCs w:val="24"/>
                          <w:shd w:val="clear" w:color="auto" w:fill="FFFFFF"/>
                          <w:lang w:val="lv-LV"/>
                        </w:rPr>
                        <w:t>]</w:t>
                      </w:r>
                      <w:r w:rsidRPr="006E563B">
                        <w:rPr>
                          <w:rFonts w:ascii="Times New Roman" w:hAnsi="Times New Roman" w:cs="Times New Roman"/>
                          <w:color w:val="1B1B1B"/>
                          <w:sz w:val="24"/>
                          <w:szCs w:val="24"/>
                          <w:shd w:val="clear" w:color="auto" w:fill="FFFFFF"/>
                          <w:lang w:val="lv-LV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7F38A89F" w14:textId="77777777" w:rsidR="001B2283" w:rsidRDefault="001B2283" w:rsidP="00854CD3">
      <w:pPr>
        <w:pStyle w:val="Virsraksts2"/>
        <w:rPr>
          <w:rFonts w:eastAsia="Times New Roman"/>
          <w:lang w:val="lv-LV"/>
        </w:rPr>
      </w:pPr>
      <w:bookmarkStart w:id="19" w:name="_Toc206573734"/>
    </w:p>
    <w:p w14:paraId="72213452" w14:textId="77777777" w:rsidR="006E563B" w:rsidRPr="000803F8" w:rsidRDefault="006E563B" w:rsidP="00854CD3">
      <w:pPr>
        <w:pStyle w:val="Virsraksts2"/>
        <w:rPr>
          <w:rFonts w:eastAsia="Times New Roman"/>
          <w:lang w:val="lv-LV"/>
        </w:rPr>
      </w:pPr>
    </w:p>
    <w:p w14:paraId="41F80135" w14:textId="77777777" w:rsidR="00441818" w:rsidRPr="000803F8" w:rsidRDefault="00441818" w:rsidP="00441818">
      <w:pPr>
        <w:rPr>
          <w:lang w:val="lv-LV"/>
        </w:rPr>
      </w:pPr>
    </w:p>
    <w:p w14:paraId="08514E9B" w14:textId="0AA6183D" w:rsidR="00854CD3" w:rsidRPr="000803F8" w:rsidRDefault="00F76B78" w:rsidP="00441818">
      <w:pPr>
        <w:pStyle w:val="Virsraksts2"/>
        <w:rPr>
          <w:rFonts w:ascii="Times New Roman" w:hAnsi="Times New Roman" w:cs="Times New Roman"/>
          <w:lang w:val="lv-LV"/>
        </w:rPr>
      </w:pPr>
      <w:bookmarkStart w:id="20" w:name="_Toc210136826"/>
      <w:bookmarkStart w:id="21" w:name="_Toc214625081"/>
      <w:r>
        <w:rPr>
          <w:rFonts w:ascii="Times New Roman" w:hAnsi="Times New Roman" w:cs="Times New Roman"/>
          <w:lang w:val="lv-LV"/>
        </w:rPr>
        <w:t>Antibiotiku izraisīta</w:t>
      </w:r>
      <w:r w:rsidR="00065458">
        <w:rPr>
          <w:rFonts w:ascii="Times New Roman" w:hAnsi="Times New Roman" w:cs="Times New Roman"/>
          <w:lang w:val="lv-LV"/>
        </w:rPr>
        <w:t>s</w:t>
      </w:r>
      <w:r>
        <w:rPr>
          <w:rFonts w:ascii="Times New Roman" w:hAnsi="Times New Roman" w:cs="Times New Roman"/>
          <w:lang w:val="lv-LV"/>
        </w:rPr>
        <w:t xml:space="preserve"> caurejas</w:t>
      </w:r>
      <w:r w:rsidR="00854CD3" w:rsidRPr="000803F8">
        <w:rPr>
          <w:rFonts w:ascii="Times New Roman" w:hAnsi="Times New Roman" w:cs="Times New Roman"/>
          <w:lang w:val="lv-LV"/>
        </w:rPr>
        <w:t xml:space="preserve"> patoģenēze</w:t>
      </w:r>
      <w:bookmarkEnd w:id="19"/>
      <w:bookmarkEnd w:id="20"/>
      <w:bookmarkEnd w:id="21"/>
    </w:p>
    <w:p w14:paraId="3241382C" w14:textId="25836B81" w:rsidR="00854CD3" w:rsidRPr="00441818" w:rsidRDefault="006965BD" w:rsidP="00854C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</w:pPr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Antibiotiku izraisītas caurejas patoģenēze nav pilnībā noskaidrota, tomēr galven</w:t>
      </w:r>
      <w:r w:rsidR="00ED1F0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ā</w:t>
      </w:r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 xml:space="preserve"> lom</w:t>
      </w:r>
      <w:r w:rsidR="009C49E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 xml:space="preserve">a ir </w:t>
      </w:r>
      <w:r w:rsidR="009C49E4" w:rsidRPr="009C49E4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 xml:space="preserve">zarnu trakta </w:t>
      </w:r>
      <w:proofErr w:type="spellStart"/>
      <w:r w:rsidRPr="0044181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mikrobiotas</w:t>
      </w:r>
      <w:proofErr w:type="spellEnd"/>
      <w:r w:rsidRPr="0044181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 xml:space="preserve"> </w:t>
      </w:r>
      <w:proofErr w:type="spellStart"/>
      <w:r w:rsidRPr="0044181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disregulācija</w:t>
      </w:r>
      <w:r w:rsidR="009C49E4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i</w:t>
      </w:r>
      <w:proofErr w:type="spellEnd"/>
      <w:r w:rsidR="006C4B71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 xml:space="preserve"> </w:t>
      </w:r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un </w:t>
      </w:r>
      <w:r w:rsidRPr="0044181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kolonizācijas rezistences zudum</w:t>
      </w:r>
      <w:r w:rsidR="009C49E4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am [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McFarland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et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al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, 2008;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Sekirov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et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al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, 2010</w:t>
      </w:r>
      <w:r w:rsidR="009C49E4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]</w:t>
      </w:r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.</w:t>
      </w:r>
    </w:p>
    <w:p w14:paraId="2F90CE3C" w14:textId="4997691D" w:rsidR="006965BD" w:rsidRPr="00441818" w:rsidRDefault="00854CD3" w:rsidP="006965BD">
      <w:pPr>
        <w:pStyle w:val="Sarakstarindkopa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color w:val="1B1B1B"/>
          <w:sz w:val="24"/>
          <w:szCs w:val="24"/>
        </w:rPr>
      </w:pPr>
      <w:r w:rsidRPr="0044181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 xml:space="preserve">Normālas </w:t>
      </w:r>
      <w:proofErr w:type="spellStart"/>
      <w:r w:rsidRPr="0044181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mikrobiotas</w:t>
      </w:r>
      <w:proofErr w:type="spellEnd"/>
      <w:r w:rsidRPr="0044181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 xml:space="preserve"> </w:t>
      </w:r>
      <w:proofErr w:type="spellStart"/>
      <w:r w:rsidRPr="0044181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disregulācija</w:t>
      </w:r>
      <w:proofErr w:type="spellEnd"/>
      <w:r w:rsidR="00DF058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 xml:space="preserve"> </w:t>
      </w:r>
      <w:r w:rsidR="00DF0588" w:rsidRPr="00DF058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[</w:t>
      </w:r>
      <w:proofErr w:type="spellStart"/>
      <w:r w:rsidR="00DF0588" w:rsidRPr="00DF058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Agus</w:t>
      </w:r>
      <w:proofErr w:type="spellEnd"/>
      <w:r w:rsidR="00DF0588" w:rsidRPr="00DF058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 xml:space="preserve"> </w:t>
      </w:r>
      <w:proofErr w:type="spellStart"/>
      <w:r w:rsidR="00DF0588" w:rsidRPr="00DF058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et</w:t>
      </w:r>
      <w:proofErr w:type="spellEnd"/>
      <w:r w:rsidR="00DF0588" w:rsidRPr="00DF058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 xml:space="preserve"> </w:t>
      </w:r>
      <w:proofErr w:type="spellStart"/>
      <w:r w:rsidR="00DF0588" w:rsidRPr="00DF058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al</w:t>
      </w:r>
      <w:proofErr w:type="spellEnd"/>
      <w:r w:rsidR="00DF0588" w:rsidRPr="00DF058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, 2021;</w:t>
      </w:r>
      <w:r w:rsidR="00DF058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Sekirov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et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al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, 2010</w:t>
      </w:r>
      <w:r w:rsidR="00DF058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]</w:t>
      </w:r>
      <w:r w:rsidR="00DF0588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.</w:t>
      </w:r>
      <w:r w:rsidR="00DF058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 xml:space="preserve"> </w:t>
      </w:r>
      <w:r w:rsidR="006965BD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:</w:t>
      </w:r>
      <w:r w:rsidR="006965BD" w:rsidRPr="000803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v-LV" w:eastAsia="en-GB"/>
          <w14:ligatures w14:val="none"/>
        </w:rPr>
        <w:t xml:space="preserve"> </w:t>
      </w:r>
      <w:r w:rsidR="006965BD" w:rsidRPr="000803F8">
        <w:rPr>
          <w:rFonts w:ascii="Times New Roman" w:hAnsi="Times New Roman" w:cs="Times New Roman"/>
          <w:color w:val="1B1B1B"/>
          <w:sz w:val="24"/>
          <w:szCs w:val="24"/>
          <w:lang w:val="lv-LV"/>
        </w:rPr>
        <w:t>antibiotiku ietekmē samazinā</w:t>
      </w:r>
      <w:r w:rsidR="009C49E4">
        <w:rPr>
          <w:rFonts w:ascii="Times New Roman" w:hAnsi="Times New Roman" w:cs="Times New Roman"/>
          <w:color w:val="1B1B1B"/>
          <w:sz w:val="24"/>
          <w:szCs w:val="24"/>
          <w:lang w:val="lv-LV"/>
        </w:rPr>
        <w:t>s</w:t>
      </w:r>
      <w:r w:rsidR="006965BD" w:rsidRPr="000803F8">
        <w:rPr>
          <w:rFonts w:ascii="Times New Roman" w:hAnsi="Times New Roman" w:cs="Times New Roman"/>
          <w:color w:val="1B1B1B"/>
          <w:sz w:val="24"/>
          <w:szCs w:val="24"/>
          <w:lang w:val="lv-LV"/>
        </w:rPr>
        <w:t xml:space="preserve"> baktēriju daudzveidība un mainās </w:t>
      </w:r>
      <w:r w:rsidR="009C49E4">
        <w:rPr>
          <w:rFonts w:ascii="Times New Roman" w:hAnsi="Times New Roman" w:cs="Times New Roman"/>
          <w:color w:val="1B1B1B"/>
          <w:sz w:val="24"/>
          <w:szCs w:val="24"/>
          <w:lang w:val="lv-LV"/>
        </w:rPr>
        <w:t xml:space="preserve">to </w:t>
      </w:r>
      <w:proofErr w:type="spellStart"/>
      <w:r w:rsidR="006965BD" w:rsidRPr="000803F8">
        <w:rPr>
          <w:rFonts w:ascii="Times New Roman" w:hAnsi="Times New Roman" w:cs="Times New Roman"/>
          <w:color w:val="1B1B1B"/>
          <w:sz w:val="24"/>
          <w:szCs w:val="24"/>
          <w:lang w:val="lv-LV"/>
        </w:rPr>
        <w:t>metabolo</w:t>
      </w:r>
      <w:proofErr w:type="spellEnd"/>
      <w:r w:rsidR="006965BD" w:rsidRPr="000803F8">
        <w:rPr>
          <w:rFonts w:ascii="Times New Roman" w:hAnsi="Times New Roman" w:cs="Times New Roman"/>
          <w:color w:val="1B1B1B"/>
          <w:sz w:val="24"/>
          <w:szCs w:val="24"/>
          <w:lang w:val="lv-LV"/>
        </w:rPr>
        <w:t xml:space="preserve"> funkciju līdzsvars. </w:t>
      </w:r>
      <w:r w:rsidR="006965BD" w:rsidRPr="00441818">
        <w:rPr>
          <w:rFonts w:ascii="Times New Roman" w:hAnsi="Times New Roman" w:cs="Times New Roman"/>
          <w:color w:val="1B1B1B"/>
          <w:sz w:val="24"/>
          <w:szCs w:val="24"/>
        </w:rPr>
        <w:t xml:space="preserve">Tas </w:t>
      </w:r>
      <w:proofErr w:type="spellStart"/>
      <w:r w:rsidR="006965BD" w:rsidRPr="00441818">
        <w:rPr>
          <w:rFonts w:ascii="Times New Roman" w:hAnsi="Times New Roman" w:cs="Times New Roman"/>
          <w:color w:val="1B1B1B"/>
          <w:sz w:val="24"/>
          <w:szCs w:val="24"/>
        </w:rPr>
        <w:t>ietver</w:t>
      </w:r>
      <w:proofErr w:type="spellEnd"/>
      <w:r w:rsidR="006965BD" w:rsidRPr="00441818">
        <w:rPr>
          <w:rFonts w:ascii="Times New Roman" w:hAnsi="Times New Roman" w:cs="Times New Roman"/>
          <w:color w:val="1B1B1B"/>
          <w:sz w:val="24"/>
          <w:szCs w:val="24"/>
        </w:rPr>
        <w:t xml:space="preserve">: </w:t>
      </w:r>
    </w:p>
    <w:p w14:paraId="25393623" w14:textId="30D28BD1" w:rsidR="00D87405" w:rsidRPr="005A514F" w:rsidRDefault="006965BD" w:rsidP="005A514F">
      <w:pPr>
        <w:pStyle w:val="Sarakstarindkopa"/>
        <w:numPr>
          <w:ilvl w:val="1"/>
          <w:numId w:val="16"/>
        </w:numPr>
        <w:shd w:val="clear" w:color="auto" w:fill="FFFFFF"/>
        <w:rPr>
          <w:rFonts w:ascii="Times New Roman" w:hAnsi="Times New Roman" w:cs="Times New Roman"/>
          <w:color w:val="1B1B1B"/>
          <w:sz w:val="24"/>
          <w:szCs w:val="24"/>
        </w:rPr>
      </w:pPr>
      <w:proofErr w:type="spellStart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īso</w:t>
      </w:r>
      <w:proofErr w:type="spell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ķēžu</w:t>
      </w:r>
      <w:proofErr w:type="spell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taukskābju</w:t>
      </w:r>
      <w:proofErr w:type="spell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(</w:t>
      </w:r>
      <w:proofErr w:type="spellStart"/>
      <w:r w:rsidR="00F1743B"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etiķskābes</w:t>
      </w:r>
      <w:proofErr w:type="spell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, </w:t>
      </w:r>
      <w:proofErr w:type="spellStart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propion</w:t>
      </w:r>
      <w:r w:rsidR="00F1743B"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skābes</w:t>
      </w:r>
      <w:proofErr w:type="spell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, </w:t>
      </w:r>
      <w:proofErr w:type="spellStart"/>
      <w:r w:rsidR="00F1743B"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sviestskābes</w:t>
      </w:r>
      <w:proofErr w:type="spell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) </w:t>
      </w:r>
      <w:proofErr w:type="spellStart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samazināšanos</w:t>
      </w:r>
      <w:proofErr w:type="spell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, kas </w:t>
      </w:r>
      <w:proofErr w:type="spellStart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fizioloģiski</w:t>
      </w:r>
      <w:proofErr w:type="spell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nodrošina</w:t>
      </w:r>
      <w:proofErr w:type="spell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enterocītu</w:t>
      </w:r>
      <w:proofErr w:type="spell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trofiku</w:t>
      </w:r>
      <w:proofErr w:type="spell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, </w:t>
      </w:r>
      <w:proofErr w:type="spellStart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osmotisko</w:t>
      </w:r>
      <w:proofErr w:type="spell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līdzsvaru</w:t>
      </w:r>
      <w:proofErr w:type="spell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un </w:t>
      </w:r>
      <w:proofErr w:type="spellStart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ūdens</w:t>
      </w:r>
      <w:proofErr w:type="spell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/Na⁺ </w:t>
      </w:r>
      <w:proofErr w:type="spellStart"/>
      <w:proofErr w:type="gramStart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absorbciju</w:t>
      </w:r>
      <w:proofErr w:type="spellEnd"/>
      <w:r w:rsidR="009C49E4"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;</w:t>
      </w:r>
      <w:proofErr w:type="gramEnd"/>
      <w:r w:rsidRPr="005A514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</w:p>
    <w:p w14:paraId="1B429748" w14:textId="68EC0667" w:rsidR="006965BD" w:rsidRPr="005A514F" w:rsidRDefault="006965BD" w:rsidP="006965BD">
      <w:pPr>
        <w:pStyle w:val="Sarakstarindkopa"/>
        <w:numPr>
          <w:ilvl w:val="1"/>
          <w:numId w:val="2"/>
        </w:numPr>
        <w:shd w:val="clear" w:color="auto" w:fill="FFFFFF"/>
        <w:rPr>
          <w:rFonts w:ascii="Times New Roman" w:hAnsi="Times New Roman" w:cs="Times New Roman"/>
          <w:color w:val="1B1B1B"/>
          <w:sz w:val="24"/>
          <w:szCs w:val="24"/>
        </w:rPr>
      </w:pPr>
      <w:proofErr w:type="spellStart"/>
      <w:r w:rsidRPr="005A514F">
        <w:rPr>
          <w:rFonts w:ascii="Times New Roman" w:hAnsi="Times New Roman" w:cs="Times New Roman"/>
          <w:color w:val="1B1B1B"/>
          <w:sz w:val="24"/>
          <w:szCs w:val="24"/>
        </w:rPr>
        <w:t>žultsskābju</w:t>
      </w:r>
      <w:proofErr w:type="spellEnd"/>
      <w:r w:rsidRPr="005A514F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 w:rsidRPr="005A514F">
        <w:rPr>
          <w:rFonts w:ascii="Times New Roman" w:hAnsi="Times New Roman" w:cs="Times New Roman"/>
          <w:color w:val="1B1B1B"/>
          <w:sz w:val="24"/>
          <w:szCs w:val="24"/>
        </w:rPr>
        <w:t>metabolisma</w:t>
      </w:r>
      <w:proofErr w:type="spellEnd"/>
      <w:r w:rsidRPr="005A514F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 w:rsidRPr="005A514F">
        <w:rPr>
          <w:rFonts w:ascii="Times New Roman" w:hAnsi="Times New Roman" w:cs="Times New Roman"/>
          <w:color w:val="1B1B1B"/>
          <w:sz w:val="24"/>
          <w:szCs w:val="24"/>
        </w:rPr>
        <w:t>traucējumus</w:t>
      </w:r>
      <w:proofErr w:type="spellEnd"/>
      <w:r w:rsidRPr="005A514F">
        <w:rPr>
          <w:rFonts w:ascii="Times New Roman" w:hAnsi="Times New Roman" w:cs="Times New Roman"/>
          <w:color w:val="1B1B1B"/>
          <w:sz w:val="24"/>
          <w:szCs w:val="24"/>
        </w:rPr>
        <w:t xml:space="preserve"> (↑ </w:t>
      </w:r>
      <w:proofErr w:type="spellStart"/>
      <w:r w:rsidRPr="005A514F">
        <w:rPr>
          <w:rFonts w:ascii="Times New Roman" w:hAnsi="Times New Roman" w:cs="Times New Roman"/>
          <w:color w:val="1B1B1B"/>
          <w:sz w:val="24"/>
          <w:szCs w:val="24"/>
        </w:rPr>
        <w:t>primārās</w:t>
      </w:r>
      <w:proofErr w:type="spellEnd"/>
      <w:r w:rsidRPr="005A514F">
        <w:rPr>
          <w:rFonts w:ascii="Times New Roman" w:hAnsi="Times New Roman" w:cs="Times New Roman"/>
          <w:color w:val="1B1B1B"/>
          <w:sz w:val="24"/>
          <w:szCs w:val="24"/>
        </w:rPr>
        <w:t xml:space="preserve">, ↓ </w:t>
      </w:r>
      <w:proofErr w:type="spellStart"/>
      <w:r w:rsidRPr="005A514F">
        <w:rPr>
          <w:rFonts w:ascii="Times New Roman" w:hAnsi="Times New Roman" w:cs="Times New Roman"/>
          <w:color w:val="1B1B1B"/>
          <w:sz w:val="24"/>
          <w:szCs w:val="24"/>
        </w:rPr>
        <w:t>sekundārās</w:t>
      </w:r>
      <w:proofErr w:type="spellEnd"/>
      <w:r w:rsidRPr="005A514F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 w:rsidRPr="005A514F">
        <w:rPr>
          <w:rFonts w:ascii="Times New Roman" w:hAnsi="Times New Roman" w:cs="Times New Roman"/>
          <w:color w:val="1B1B1B"/>
          <w:sz w:val="24"/>
          <w:szCs w:val="24"/>
        </w:rPr>
        <w:t>žultsskābes</w:t>
      </w:r>
      <w:proofErr w:type="spellEnd"/>
      <w:r w:rsidRPr="005A514F">
        <w:rPr>
          <w:rFonts w:ascii="Times New Roman" w:hAnsi="Times New Roman" w:cs="Times New Roman"/>
          <w:color w:val="1B1B1B"/>
          <w:sz w:val="24"/>
          <w:szCs w:val="24"/>
        </w:rPr>
        <w:t xml:space="preserve">), kas </w:t>
      </w:r>
      <w:proofErr w:type="spellStart"/>
      <w:r w:rsidRPr="005A514F">
        <w:rPr>
          <w:rFonts w:ascii="Times New Roman" w:hAnsi="Times New Roman" w:cs="Times New Roman"/>
          <w:color w:val="1B1B1B"/>
          <w:sz w:val="24"/>
          <w:szCs w:val="24"/>
        </w:rPr>
        <w:t>stimulē</w:t>
      </w:r>
      <w:proofErr w:type="spellEnd"/>
      <w:r w:rsidRPr="005A514F">
        <w:rPr>
          <w:rFonts w:ascii="Times New Roman" w:hAnsi="Times New Roman" w:cs="Times New Roman"/>
          <w:color w:val="1B1B1B"/>
          <w:sz w:val="24"/>
          <w:szCs w:val="24"/>
        </w:rPr>
        <w:t> </w:t>
      </w:r>
      <w:r w:rsidRPr="005A514F">
        <w:rPr>
          <w:rFonts w:ascii="Times New Roman" w:hAnsi="Times New Roman" w:cs="Times New Roman"/>
          <w:i/>
          <w:iCs/>
          <w:color w:val="1B1B1B"/>
          <w:sz w:val="24"/>
          <w:szCs w:val="24"/>
        </w:rPr>
        <w:t>C</w:t>
      </w:r>
      <w:r w:rsidR="009C49E4" w:rsidRPr="005A514F">
        <w:rPr>
          <w:rFonts w:ascii="Times New Roman" w:hAnsi="Times New Roman" w:cs="Times New Roman"/>
          <w:i/>
          <w:iCs/>
          <w:color w:val="1B1B1B"/>
          <w:sz w:val="24"/>
          <w:szCs w:val="24"/>
        </w:rPr>
        <w:t>l.</w:t>
      </w:r>
      <w:r w:rsidRPr="005A514F">
        <w:rPr>
          <w:rFonts w:ascii="Times New Roman" w:hAnsi="Times New Roman" w:cs="Times New Roman"/>
          <w:i/>
          <w:iCs/>
          <w:color w:val="1B1B1B"/>
          <w:sz w:val="24"/>
          <w:szCs w:val="24"/>
        </w:rPr>
        <w:t xml:space="preserve"> difficile</w:t>
      </w:r>
      <w:r w:rsidRPr="005A514F">
        <w:rPr>
          <w:rFonts w:ascii="Times New Roman" w:hAnsi="Times New Roman" w:cs="Times New Roman"/>
          <w:color w:val="1B1B1B"/>
          <w:sz w:val="24"/>
          <w:szCs w:val="24"/>
        </w:rPr>
        <w:t> </w:t>
      </w:r>
      <w:proofErr w:type="spellStart"/>
      <w:r w:rsidRPr="005A514F">
        <w:rPr>
          <w:rFonts w:ascii="Times New Roman" w:hAnsi="Times New Roman" w:cs="Times New Roman"/>
          <w:color w:val="1B1B1B"/>
          <w:sz w:val="24"/>
          <w:szCs w:val="24"/>
        </w:rPr>
        <w:t>sporu</w:t>
      </w:r>
      <w:proofErr w:type="spellEnd"/>
      <w:r w:rsidRPr="005A514F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proofErr w:type="gramStart"/>
      <w:r w:rsidR="00A4412A" w:rsidRPr="005A514F">
        <w:rPr>
          <w:rFonts w:ascii="Times New Roman" w:hAnsi="Times New Roman" w:cs="Times New Roman"/>
          <w:color w:val="1B1B1B"/>
          <w:sz w:val="24"/>
          <w:szCs w:val="24"/>
        </w:rPr>
        <w:t>vair</w:t>
      </w:r>
      <w:r w:rsidR="009C49E4" w:rsidRPr="005A514F">
        <w:rPr>
          <w:rFonts w:ascii="Times New Roman" w:hAnsi="Times New Roman" w:cs="Times New Roman"/>
          <w:color w:val="1B1B1B"/>
          <w:sz w:val="24"/>
          <w:szCs w:val="24"/>
        </w:rPr>
        <w:t>o</w:t>
      </w:r>
      <w:r w:rsidR="00A4412A" w:rsidRPr="005A514F">
        <w:rPr>
          <w:rFonts w:ascii="Times New Roman" w:hAnsi="Times New Roman" w:cs="Times New Roman"/>
          <w:color w:val="1B1B1B"/>
          <w:sz w:val="24"/>
          <w:szCs w:val="24"/>
        </w:rPr>
        <w:t>šanos</w:t>
      </w:r>
      <w:proofErr w:type="spellEnd"/>
      <w:r w:rsidR="009C49E4" w:rsidRPr="005A514F">
        <w:rPr>
          <w:rFonts w:ascii="Times New Roman" w:hAnsi="Times New Roman" w:cs="Times New Roman"/>
          <w:color w:val="1B1B1B"/>
          <w:sz w:val="24"/>
          <w:szCs w:val="24"/>
        </w:rPr>
        <w:t>;</w:t>
      </w:r>
      <w:proofErr w:type="gramEnd"/>
      <w:r w:rsidRPr="005A514F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</w:p>
    <w:p w14:paraId="1629C4D0" w14:textId="0AFCE047" w:rsidR="00A4412A" w:rsidRPr="005A514F" w:rsidRDefault="00A4412A" w:rsidP="006965BD">
      <w:pPr>
        <w:pStyle w:val="Sarakstarindkopa"/>
        <w:numPr>
          <w:ilvl w:val="1"/>
          <w:numId w:val="2"/>
        </w:numPr>
        <w:shd w:val="clear" w:color="auto" w:fill="FFFFFF"/>
        <w:rPr>
          <w:rFonts w:ascii="Times New Roman" w:hAnsi="Times New Roman" w:cs="Times New Roman"/>
          <w:color w:val="1B1B1B"/>
          <w:sz w:val="24"/>
          <w:szCs w:val="24"/>
        </w:rPr>
      </w:pPr>
      <w:proofErr w:type="spellStart"/>
      <w:r w:rsidRPr="005A514F">
        <w:rPr>
          <w:rFonts w:ascii="Times New Roman" w:hAnsi="Times New Roman" w:cs="Times New Roman"/>
          <w:color w:val="1B1B1B"/>
          <w:sz w:val="24"/>
          <w:szCs w:val="24"/>
        </w:rPr>
        <w:t>samazinātu</w:t>
      </w:r>
      <w:proofErr w:type="spellEnd"/>
      <w:r w:rsidRPr="005A514F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 w:rsidRPr="005A514F">
        <w:rPr>
          <w:rFonts w:ascii="Times New Roman" w:hAnsi="Times New Roman" w:cs="Times New Roman"/>
          <w:color w:val="1B1B1B"/>
          <w:sz w:val="24"/>
          <w:szCs w:val="24"/>
        </w:rPr>
        <w:t>vitamīnu</w:t>
      </w:r>
      <w:proofErr w:type="spellEnd"/>
      <w:r w:rsidRPr="005A514F">
        <w:rPr>
          <w:rFonts w:ascii="Times New Roman" w:hAnsi="Times New Roman" w:cs="Times New Roman"/>
          <w:color w:val="1B1B1B"/>
          <w:sz w:val="24"/>
          <w:szCs w:val="24"/>
        </w:rPr>
        <w:t xml:space="preserve"> un </w:t>
      </w:r>
      <w:proofErr w:type="spellStart"/>
      <w:r w:rsidRPr="005A514F">
        <w:rPr>
          <w:rFonts w:ascii="Times New Roman" w:hAnsi="Times New Roman" w:cs="Times New Roman"/>
          <w:color w:val="1B1B1B"/>
          <w:sz w:val="24"/>
          <w:szCs w:val="24"/>
        </w:rPr>
        <w:t>citu</w:t>
      </w:r>
      <w:proofErr w:type="spellEnd"/>
      <w:r w:rsidRPr="005A514F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 w:rsidRPr="005A514F">
        <w:rPr>
          <w:rFonts w:ascii="Times New Roman" w:hAnsi="Times New Roman" w:cs="Times New Roman"/>
          <w:color w:val="1B1B1B"/>
          <w:sz w:val="24"/>
          <w:szCs w:val="24"/>
        </w:rPr>
        <w:t>mikrobiotas</w:t>
      </w:r>
      <w:proofErr w:type="spellEnd"/>
      <w:r w:rsidRPr="005A514F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 w:rsidRPr="005A514F">
        <w:rPr>
          <w:rFonts w:ascii="Times New Roman" w:hAnsi="Times New Roman" w:cs="Times New Roman"/>
          <w:color w:val="1B1B1B"/>
          <w:sz w:val="24"/>
          <w:szCs w:val="24"/>
        </w:rPr>
        <w:t>metabolītu</w:t>
      </w:r>
      <w:proofErr w:type="spellEnd"/>
      <w:r w:rsidRPr="005A514F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 w:rsidRPr="005A514F">
        <w:rPr>
          <w:rFonts w:ascii="Times New Roman" w:hAnsi="Times New Roman" w:cs="Times New Roman"/>
          <w:color w:val="1B1B1B"/>
          <w:sz w:val="24"/>
          <w:szCs w:val="24"/>
        </w:rPr>
        <w:t>biosintēz</w:t>
      </w:r>
      <w:r w:rsidR="00ED1F09" w:rsidRPr="005A514F">
        <w:rPr>
          <w:rFonts w:ascii="Times New Roman" w:hAnsi="Times New Roman" w:cs="Times New Roman"/>
          <w:color w:val="1B1B1B"/>
          <w:sz w:val="24"/>
          <w:szCs w:val="24"/>
        </w:rPr>
        <w:t>i</w:t>
      </w:r>
      <w:proofErr w:type="spellEnd"/>
      <w:r w:rsidR="009C49E4" w:rsidRPr="005A514F">
        <w:rPr>
          <w:rFonts w:ascii="Times New Roman" w:hAnsi="Times New Roman" w:cs="Times New Roman"/>
          <w:color w:val="1B1B1B"/>
          <w:sz w:val="24"/>
          <w:szCs w:val="24"/>
        </w:rPr>
        <w:t>.</w:t>
      </w:r>
      <w:r w:rsidRPr="005A514F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</w:p>
    <w:p w14:paraId="27789B77" w14:textId="77777777" w:rsidR="00A4412A" w:rsidRPr="00441818" w:rsidRDefault="00A4412A" w:rsidP="005A514F">
      <w:pPr>
        <w:pStyle w:val="Sarakstarindkopa"/>
        <w:shd w:val="clear" w:color="auto" w:fill="FFFFFF"/>
        <w:ind w:left="2160"/>
        <w:rPr>
          <w:rFonts w:ascii="Times New Roman" w:hAnsi="Times New Roman" w:cs="Times New Roman"/>
          <w:color w:val="1B1B1B"/>
          <w:sz w:val="24"/>
          <w:szCs w:val="24"/>
        </w:rPr>
      </w:pPr>
    </w:p>
    <w:p w14:paraId="7C7BA743" w14:textId="089B34B1" w:rsidR="00A4412A" w:rsidRPr="00441818" w:rsidRDefault="00854CD3" w:rsidP="00A4412A">
      <w:pPr>
        <w:pStyle w:val="Sarakstarindkop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</w:pPr>
      <w:r w:rsidRPr="0044181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Kolonizācijas rezistenc</w:t>
      </w:r>
      <w:r w:rsidR="00703CEE" w:rsidRPr="0044181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e</w:t>
      </w:r>
      <w:r w:rsidR="00A4412A" w:rsidRPr="0044181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:</w:t>
      </w:r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 xml:space="preserve"> </w:t>
      </w:r>
      <w:proofErr w:type="spellStart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samazinās</w:t>
      </w:r>
      <w:proofErr w:type="spellEnd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normālās</w:t>
      </w:r>
      <w:proofErr w:type="spellEnd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="009C49E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zarnu</w:t>
      </w:r>
      <w:proofErr w:type="spellEnd"/>
      <w:r w:rsidR="009C49E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mikrobiotas</w:t>
      </w:r>
      <w:proofErr w:type="spellEnd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spēja</w:t>
      </w:r>
      <w:proofErr w:type="spellEnd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ierobežot</w:t>
      </w:r>
      <w:proofErr w:type="spellEnd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patogēnu</w:t>
      </w:r>
      <w:proofErr w:type="spellEnd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augšanu</w:t>
      </w:r>
      <w:proofErr w:type="spellEnd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. Tas </w:t>
      </w:r>
      <w:proofErr w:type="spellStart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ietver</w:t>
      </w:r>
      <w:proofErr w:type="spellEnd"/>
      <w:r w:rsidR="00A4412A"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:</w:t>
      </w:r>
    </w:p>
    <w:p w14:paraId="416F3190" w14:textId="45412BDD" w:rsidR="00A4412A" w:rsidRPr="00441818" w:rsidRDefault="00A4412A" w:rsidP="00A4412A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</w:pPr>
      <w:proofErr w:type="spellStart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konkurenci</w:t>
      </w:r>
      <w:proofErr w:type="spellEnd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ar</w:t>
      </w:r>
      <w:proofErr w:type="spellEnd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patogēniem</w:t>
      </w:r>
      <w:proofErr w:type="spellEnd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par </w:t>
      </w:r>
      <w:proofErr w:type="spellStart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barības</w:t>
      </w:r>
      <w:proofErr w:type="spellEnd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vielām</w:t>
      </w:r>
      <w:proofErr w:type="spellEnd"/>
      <w:r w:rsidR="009C49E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;</w:t>
      </w:r>
      <w:proofErr w:type="gramEnd"/>
    </w:p>
    <w:p w14:paraId="7FA2249E" w14:textId="703C94A6" w:rsidR="00A4412A" w:rsidRPr="00441818" w:rsidRDefault="00A4412A" w:rsidP="00A4412A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</w:pPr>
      <w:proofErr w:type="spellStart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baktericīnu</w:t>
      </w:r>
      <w:proofErr w:type="spellEnd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un </w:t>
      </w:r>
      <w:proofErr w:type="spellStart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toksīnu</w:t>
      </w:r>
      <w:proofErr w:type="spellEnd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degradējošu</w:t>
      </w:r>
      <w:proofErr w:type="spellEnd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proteāžu</w:t>
      </w:r>
      <w:proofErr w:type="spellEnd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producēšanu</w:t>
      </w:r>
      <w:proofErr w:type="spellEnd"/>
      <w:r w:rsidR="009C49E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;</w:t>
      </w:r>
      <w:proofErr w:type="gramEnd"/>
    </w:p>
    <w:p w14:paraId="38299F98" w14:textId="5F1F9C90" w:rsidR="00A4412A" w:rsidRPr="00441818" w:rsidRDefault="00A4412A" w:rsidP="00A4412A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</w:pPr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patogēnu adhēzijas un toksīnu receptoru bloķēšanu</w:t>
      </w:r>
      <w:r w:rsidR="009C49E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.</w:t>
      </w:r>
    </w:p>
    <w:p w14:paraId="4A1AF58D" w14:textId="51BC4981" w:rsidR="00A4412A" w:rsidRDefault="00A4412A" w:rsidP="00A441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B1B"/>
          <w:kern w:val="0"/>
          <w:lang w:val="lv-LV"/>
          <w14:ligatures w14:val="none"/>
        </w:rPr>
      </w:pPr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lastRenderedPageBreak/>
        <w:t>Šo mehānismu kopums veicina </w:t>
      </w:r>
      <w:r w:rsidRPr="0044181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oportūnist</w:t>
      </w:r>
      <w:r w:rsidR="00E010D2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isku baktēriju</w:t>
      </w:r>
      <w:r w:rsidRPr="0044181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 xml:space="preserve"> (piem., </w:t>
      </w:r>
      <w:proofErr w:type="spellStart"/>
      <w:r w:rsidRPr="00441818">
        <w:rPr>
          <w:rFonts w:ascii="Times New Roman" w:eastAsia="Times New Roman" w:hAnsi="Times New Roman" w:cs="Times New Roman"/>
          <w:b/>
          <w:bCs/>
          <w:i/>
          <w:iCs/>
          <w:color w:val="1B1B1B"/>
          <w:kern w:val="0"/>
          <w:sz w:val="24"/>
          <w:szCs w:val="24"/>
          <w:lang w:val="lv-LV"/>
          <w14:ligatures w14:val="none"/>
        </w:rPr>
        <w:t>C</w:t>
      </w:r>
      <w:r w:rsidR="006F0479">
        <w:rPr>
          <w:rFonts w:ascii="Times New Roman" w:eastAsia="Times New Roman" w:hAnsi="Times New Roman" w:cs="Times New Roman"/>
          <w:b/>
          <w:bCs/>
          <w:i/>
          <w:iCs/>
          <w:color w:val="1B1B1B"/>
          <w:kern w:val="0"/>
          <w:sz w:val="24"/>
          <w:szCs w:val="24"/>
          <w:lang w:val="lv-LV"/>
          <w14:ligatures w14:val="none"/>
        </w:rPr>
        <w:t>l</w:t>
      </w:r>
      <w:proofErr w:type="spellEnd"/>
      <w:r w:rsidRPr="00441818">
        <w:rPr>
          <w:rFonts w:ascii="Times New Roman" w:eastAsia="Times New Roman" w:hAnsi="Times New Roman" w:cs="Times New Roman"/>
          <w:b/>
          <w:bCs/>
          <w:i/>
          <w:iCs/>
          <w:color w:val="1B1B1B"/>
          <w:kern w:val="0"/>
          <w:sz w:val="24"/>
          <w:szCs w:val="24"/>
          <w:lang w:val="lv-LV"/>
          <w14:ligatures w14:val="none"/>
        </w:rPr>
        <w:t xml:space="preserve">. </w:t>
      </w:r>
      <w:proofErr w:type="spellStart"/>
      <w:r w:rsidRPr="00441818">
        <w:rPr>
          <w:rFonts w:ascii="Times New Roman" w:eastAsia="Times New Roman" w:hAnsi="Times New Roman" w:cs="Times New Roman"/>
          <w:b/>
          <w:bCs/>
          <w:i/>
          <w:iCs/>
          <w:color w:val="1B1B1B"/>
          <w:kern w:val="0"/>
          <w:sz w:val="24"/>
          <w:szCs w:val="24"/>
          <w:lang w:val="lv-LV"/>
          <w14:ligatures w14:val="none"/>
        </w:rPr>
        <w:t>difficile</w:t>
      </w:r>
      <w:proofErr w:type="spellEnd"/>
      <w:r w:rsidRPr="00441818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 xml:space="preserve">) </w:t>
      </w:r>
      <w:r w:rsidR="009C49E4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savairošanos</w:t>
      </w:r>
      <w:r w:rsidRPr="0044181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 un caurejas attīstību</w:t>
      </w:r>
      <w:r w:rsidRPr="00A4412A">
        <w:rPr>
          <w:rFonts w:ascii="Times New Roman" w:eastAsia="Times New Roman" w:hAnsi="Times New Roman" w:cs="Times New Roman"/>
          <w:color w:val="1B1B1B"/>
          <w:kern w:val="0"/>
          <w:lang w:val="lv-LV"/>
          <w14:ligatures w14:val="none"/>
        </w:rPr>
        <w:t>.</w:t>
      </w:r>
    </w:p>
    <w:p w14:paraId="2FC13D89" w14:textId="5C3ACEBC" w:rsidR="00FC7A96" w:rsidRPr="0048236E" w:rsidRDefault="00F76B78" w:rsidP="00441818">
      <w:pPr>
        <w:pStyle w:val="Virsraksts2"/>
        <w:rPr>
          <w:rFonts w:ascii="Times New Roman" w:hAnsi="Times New Roman" w:cs="Times New Roman"/>
          <w:lang w:val="lv-LV"/>
        </w:rPr>
      </w:pPr>
      <w:bookmarkStart w:id="22" w:name="_Toc206573735"/>
      <w:bookmarkStart w:id="23" w:name="_Toc210136827"/>
      <w:bookmarkStart w:id="24" w:name="_Toc214625082"/>
      <w:r>
        <w:rPr>
          <w:rFonts w:ascii="Times New Roman" w:hAnsi="Times New Roman" w:cs="Times New Roman"/>
          <w:lang w:val="lv-LV"/>
        </w:rPr>
        <w:t>Antibiotiku izraisītas caurejas k</w:t>
      </w:r>
      <w:r w:rsidR="00FC7A96" w:rsidRPr="0048236E">
        <w:rPr>
          <w:rFonts w:ascii="Times New Roman" w:hAnsi="Times New Roman" w:cs="Times New Roman"/>
          <w:lang w:val="lv-LV"/>
        </w:rPr>
        <w:t>līniskās izpausmes</w:t>
      </w:r>
      <w:bookmarkEnd w:id="22"/>
      <w:bookmarkEnd w:id="23"/>
      <w:bookmarkEnd w:id="24"/>
    </w:p>
    <w:p w14:paraId="524D7B95" w14:textId="400AA510" w:rsidR="002203C1" w:rsidRPr="00F76B78" w:rsidRDefault="002203C1" w:rsidP="00F76B78">
      <w:pPr>
        <w:rPr>
          <w:rFonts w:ascii="MS Gothic" w:eastAsia="MS Gothic" w:hAnsi="MS Gothic" w:cs="MS Gothic"/>
          <w:color w:val="1B1B1B"/>
          <w:sz w:val="24"/>
          <w:szCs w:val="24"/>
          <w:shd w:val="clear" w:color="auto" w:fill="FFFFFF"/>
          <w:lang w:val="lv-LV"/>
        </w:rPr>
      </w:pPr>
      <w:r w:rsidRPr="0048236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Galvenā antibiotiku izraisītas caurejas (AIC) klīniskā pazīme ir </w:t>
      </w:r>
      <w:r w:rsidRPr="0048236E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>atkārtota šķidras vai mīkstas konsistences vēdera izeja vismaz ≥3 reizes diennaktī</w:t>
      </w:r>
      <w:r w:rsidRPr="0048236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, kas ilgst vismaz divas dienas pēc kārtas</w:t>
      </w:r>
      <w:r w:rsidR="009C49E4" w:rsidRPr="0048236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[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McFarland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et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al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, 2008</w:t>
      </w:r>
      <w:r w:rsidR="009C49E4" w:rsidRPr="0048236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].</w:t>
      </w:r>
      <w:r w:rsidRPr="0048236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</w:p>
    <w:p w14:paraId="018AE0B8" w14:textId="77777777" w:rsidR="002203C1" w:rsidRPr="00441818" w:rsidRDefault="002203C1" w:rsidP="002203C1">
      <w:pPr>
        <w:pStyle w:val="Sarakstarindkopa"/>
        <w:ind w:left="360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</w:pPr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 xml:space="preserve">AIC var </w:t>
      </w:r>
      <w:proofErr w:type="spellStart"/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>izpausties</w:t>
      </w:r>
      <w:proofErr w:type="spellEnd"/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>dažādās</w:t>
      </w:r>
      <w:proofErr w:type="spellEnd"/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>klīniskās</w:t>
      </w:r>
      <w:proofErr w:type="spellEnd"/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>formās</w:t>
      </w:r>
      <w:proofErr w:type="spellEnd"/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>:</w:t>
      </w:r>
    </w:p>
    <w:p w14:paraId="3885EF8F" w14:textId="77777777" w:rsidR="002203C1" w:rsidRPr="00441818" w:rsidRDefault="002203C1" w:rsidP="002203C1">
      <w:pPr>
        <w:pStyle w:val="Sarakstarindkopa"/>
        <w:ind w:left="36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0B129D34" w14:textId="37561BEA" w:rsidR="00FC7A96" w:rsidRPr="00441818" w:rsidRDefault="00861CAF" w:rsidP="00633FB9">
      <w:pPr>
        <w:pStyle w:val="Sarakstarindkopa"/>
        <w:numPr>
          <w:ilvl w:val="0"/>
          <w:numId w:val="6"/>
        </w:num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</w:pPr>
      <w:r w:rsidRPr="00441818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>Nekomplicēta caureja</w:t>
      </w:r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- </w:t>
      </w:r>
      <w:r w:rsidR="00EF6F7A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šķidra</w:t>
      </w:r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r w:rsidR="00EF6F7A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vai mīkstas konsistences vēdera izeja vismaz 3 reizes dien</w:t>
      </w:r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naktī vismaz divas dienas pēc kārtas</w:t>
      </w:r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,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parasti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ilgst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1–7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dienas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vidēji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2,6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dienas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).</w:t>
      </w:r>
    </w:p>
    <w:p w14:paraId="21281FF5" w14:textId="205ECFF3" w:rsidR="00861CAF" w:rsidRPr="00441818" w:rsidRDefault="002203C1" w:rsidP="00633FB9">
      <w:pPr>
        <w:pStyle w:val="Sarakstarindkopa"/>
        <w:numPr>
          <w:ilvl w:val="0"/>
          <w:numId w:val="6"/>
        </w:num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</w:pPr>
      <w:r w:rsidRPr="00441818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>Antibiotiku i</w:t>
      </w:r>
      <w:r w:rsidR="007B3DB5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>zraisīts</w:t>
      </w:r>
      <w:r w:rsidRPr="00441818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 xml:space="preserve"> kolīts (AI kolīts) </w:t>
      </w:r>
      <w:r w:rsidR="00861CAF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– </w:t>
      </w:r>
      <w:r w:rsidR="009C49E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izteikt</w:t>
      </w:r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āka caureja, ko pavada vēdersāpes, drudzis, </w:t>
      </w:r>
      <w:proofErr w:type="spellStart"/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hipoalbuminēmija</w:t>
      </w:r>
      <w:proofErr w:type="spellEnd"/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, </w:t>
      </w:r>
      <w:proofErr w:type="spellStart"/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leikocitoze</w:t>
      </w:r>
      <w:proofErr w:type="spellEnd"/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. </w:t>
      </w:r>
      <w:proofErr w:type="spellStart"/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Kolonoskopijā</w:t>
      </w:r>
      <w:proofErr w:type="spellEnd"/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novērojama </w:t>
      </w:r>
      <w:proofErr w:type="spellStart"/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eritēma</w:t>
      </w:r>
      <w:proofErr w:type="spellEnd"/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un tūska, bet bez </w:t>
      </w:r>
      <w:proofErr w:type="spellStart"/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pseidomembrānu</w:t>
      </w:r>
      <w:proofErr w:type="spellEnd"/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veidošanās.</w:t>
      </w:r>
    </w:p>
    <w:p w14:paraId="58EB5F17" w14:textId="10912D7A" w:rsidR="002203C1" w:rsidRPr="00441818" w:rsidRDefault="00FC7A96" w:rsidP="00307254">
      <w:pPr>
        <w:pStyle w:val="Sarakstarindkopa"/>
        <w:numPr>
          <w:ilvl w:val="0"/>
          <w:numId w:val="6"/>
        </w:num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</w:pPr>
      <w:proofErr w:type="spellStart"/>
      <w:r w:rsidRPr="00441818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>Pseidomembranozs</w:t>
      </w:r>
      <w:proofErr w:type="spellEnd"/>
      <w:r w:rsidRPr="00441818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 xml:space="preserve"> kolīts</w:t>
      </w:r>
      <w:r w:rsidR="00633FB9" w:rsidRPr="00441818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 xml:space="preserve"> </w:t>
      </w:r>
      <w:r w:rsidR="00633FB9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-</w:t>
      </w:r>
      <w:r w:rsidR="005A67D0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smaga AIC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foma</w:t>
      </w:r>
      <w:proofErr w:type="spellEnd"/>
      <w:r w:rsidR="005A67D0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, </w:t>
      </w:r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kas gandrīz vienmēr saistīta ar </w:t>
      </w:r>
      <w:proofErr w:type="spellStart"/>
      <w:r w:rsidR="002203C1" w:rsidRPr="00441818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  <w:lang w:val="lv-LV"/>
        </w:rPr>
        <w:t>Cl</w:t>
      </w:r>
      <w:r w:rsidR="00675B51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  <w:lang w:val="lv-LV"/>
        </w:rPr>
        <w:t>.</w:t>
      </w:r>
      <w:r w:rsidR="002203C1" w:rsidRPr="00441818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  <w:lang w:val="lv-LV"/>
        </w:rPr>
        <w:t>difficile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 infekciju.</w:t>
      </w:r>
    </w:p>
    <w:p w14:paraId="2D1FBFDE" w14:textId="77777777" w:rsidR="002203C1" w:rsidRPr="00441818" w:rsidRDefault="002203C1" w:rsidP="002203C1">
      <w:pPr>
        <w:pStyle w:val="Sarakstarindkopa"/>
        <w:ind w:left="360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</w:pPr>
    </w:p>
    <w:p w14:paraId="698F59BD" w14:textId="08AB8644" w:rsidR="00EB1A2D" w:rsidRPr="00441818" w:rsidRDefault="00EB1A2D" w:rsidP="002203C1">
      <w:pPr>
        <w:pStyle w:val="Sarakstarindkopa"/>
        <w:ind w:left="360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  <w:lang w:val="lv-LV"/>
        </w:rPr>
      </w:pPr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  <w:lang w:val="lv-LV"/>
        </w:rPr>
        <w:t>Pēc slimības gaitas:</w:t>
      </w:r>
    </w:p>
    <w:p w14:paraId="565CBC1F" w14:textId="6B0F7FC4" w:rsidR="005A67D0" w:rsidRPr="00441818" w:rsidRDefault="005A67D0" w:rsidP="00EB1A2D">
      <w:pPr>
        <w:pStyle w:val="Sarakstarindkopa"/>
        <w:numPr>
          <w:ilvl w:val="0"/>
          <w:numId w:val="11"/>
        </w:num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</w:pPr>
      <w:r w:rsidRPr="00441818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>Prolongēta gaita</w:t>
      </w:r>
      <w:r w:rsidR="002203C1" w:rsidRPr="00441818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 xml:space="preserve">: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caureja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ilgst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675B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ilgāk</w:t>
      </w:r>
      <w:proofErr w:type="spellEnd"/>
      <w:r w:rsidR="00675B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par </w:t>
      </w:r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1–3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nedēļ</w:t>
      </w:r>
      <w:r w:rsidR="00675B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ām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Simptomi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: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ūdeņaina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caureja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(90–95%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gadījumu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),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vēdersāpes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drudzis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leikocitoze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;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retāk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–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vemšana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Biežāk</w:t>
      </w:r>
      <w:proofErr w:type="spellEnd"/>
      <w:r w:rsidR="00675B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675B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vēro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bērniem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ar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komlikacijam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uz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hospitalizācijas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fonā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2CBFA01E" w14:textId="4A352818" w:rsidR="002203C1" w:rsidRPr="00441818" w:rsidRDefault="005A67D0" w:rsidP="002203C1">
      <w:pPr>
        <w:pStyle w:val="Sarakstarindkopa"/>
        <w:numPr>
          <w:ilvl w:val="0"/>
          <w:numId w:val="11"/>
        </w:num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</w:pPr>
      <w:proofErr w:type="spellStart"/>
      <w:r w:rsidRPr="00441818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>Rekurenta</w:t>
      </w:r>
      <w:proofErr w:type="spellEnd"/>
      <w:r w:rsidRPr="00441818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 xml:space="preserve"> AIC</w:t>
      </w:r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–</w:t>
      </w:r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atkārtota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caureja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visbiežāk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pēc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 </w:t>
      </w:r>
      <w:r w:rsidR="002203C1" w:rsidRPr="00441818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C. difficile</w:t>
      </w:r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 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infekcijas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6253169B" w14:textId="0022679D" w:rsidR="00EB1A2D" w:rsidRPr="00441818" w:rsidRDefault="002203C1" w:rsidP="002203C1">
      <w:pPr>
        <w:ind w:left="360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  <w:lang w:val="lv-LV"/>
        </w:rPr>
      </w:pPr>
      <w:proofErr w:type="spellStart"/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>Pēc</w:t>
      </w:r>
      <w:proofErr w:type="spellEnd"/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>parādīšanās</w:t>
      </w:r>
      <w:proofErr w:type="spellEnd"/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>laika</w:t>
      </w:r>
      <w:proofErr w:type="spellEnd"/>
      <w:r w:rsidRPr="00441818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shd w:val="clear" w:color="auto" w:fill="FFFFFF"/>
        </w:rPr>
        <w:t>:</w:t>
      </w:r>
    </w:p>
    <w:p w14:paraId="039B00DB" w14:textId="2F2B8D63" w:rsidR="00FC7A96" w:rsidRPr="00441818" w:rsidRDefault="00861CAF" w:rsidP="00EB1A2D">
      <w:pPr>
        <w:pStyle w:val="Sarakstarindkopa"/>
        <w:numPr>
          <w:ilvl w:val="0"/>
          <w:numId w:val="12"/>
        </w:num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</w:pPr>
      <w:r w:rsidRPr="00441818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 xml:space="preserve">Agrīna AIC </w:t>
      </w:r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–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sākas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antibiotiku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terapijas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laikā</w:t>
      </w:r>
      <w:proofErr w:type="spellEnd"/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724D740A" w14:textId="1B1CD92A" w:rsidR="002203C1" w:rsidRDefault="00861CAF" w:rsidP="002203C1">
      <w:pPr>
        <w:pStyle w:val="Sarakstarindkopa"/>
        <w:numPr>
          <w:ilvl w:val="0"/>
          <w:numId w:val="12"/>
        </w:num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</w:pPr>
      <w:r w:rsidRPr="00441818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>Vēlīna (novēlota) sākums</w:t>
      </w:r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–</w:t>
      </w:r>
      <w:r w:rsidR="002203C1"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sākas 2–8 nedēļas pēc antibakteriālās terapijas pārtraukšanas.</w:t>
      </w:r>
    </w:p>
    <w:p w14:paraId="1BCA5A2D" w14:textId="0878CFD2" w:rsidR="00603495" w:rsidRDefault="00907D3F" w:rsidP="0060349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</w:pPr>
      <w:r w:rsidRPr="004837A1">
        <w:rPr>
          <w:rFonts w:ascii="Times New Roman" w:hAnsi="Times New Roman" w:cs="Times New Roman"/>
          <w:b/>
          <w:bCs/>
          <w:noProof/>
          <w:color w:val="FF0000"/>
          <w:shd w:val="clear" w:color="auto" w:fill="FFFFFF"/>
          <w:lang w:val="lv-LV" w:eastAsia="lv-LV"/>
        </w:rPr>
        <w:drawing>
          <wp:anchor distT="0" distB="0" distL="114300" distR="114300" simplePos="0" relativeHeight="251611136" behindDoc="0" locked="0" layoutInCell="1" allowOverlap="1" wp14:anchorId="30D53F75" wp14:editId="5FA78C3B">
            <wp:simplePos x="0" y="0"/>
            <wp:positionH relativeFrom="column">
              <wp:posOffset>935990</wp:posOffset>
            </wp:positionH>
            <wp:positionV relativeFrom="paragraph">
              <wp:posOffset>46355</wp:posOffset>
            </wp:positionV>
            <wp:extent cx="3834130" cy="2487295"/>
            <wp:effectExtent l="38100" t="38100" r="33020" b="46355"/>
            <wp:wrapSquare wrapText="bothSides"/>
            <wp:docPr id="2032158310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58310" name="Picture 1" descr="A diagram of a 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130" cy="2487295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5A7BE" w14:textId="77777777" w:rsidR="00907D3F" w:rsidRDefault="00907D3F" w:rsidP="00603495">
      <w:pPr>
        <w:rPr>
          <w:b/>
          <w:bCs/>
          <w:sz w:val="18"/>
          <w:szCs w:val="18"/>
          <w:u w:color="000000"/>
          <w:lang w:val="lv-LV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91DD28" w14:textId="77777777" w:rsidR="00907D3F" w:rsidRDefault="00907D3F" w:rsidP="00603495">
      <w:pPr>
        <w:rPr>
          <w:b/>
          <w:bCs/>
          <w:sz w:val="18"/>
          <w:szCs w:val="18"/>
          <w:u w:color="000000"/>
          <w:lang w:val="lv-LV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6553484" w14:textId="77777777" w:rsidR="00907D3F" w:rsidRDefault="00907D3F" w:rsidP="00603495">
      <w:pPr>
        <w:rPr>
          <w:b/>
          <w:bCs/>
          <w:sz w:val="18"/>
          <w:szCs w:val="18"/>
          <w:u w:color="000000"/>
          <w:lang w:val="lv-LV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DD777E" w14:textId="77777777" w:rsidR="00907D3F" w:rsidRDefault="00907D3F" w:rsidP="00603495">
      <w:pPr>
        <w:rPr>
          <w:b/>
          <w:bCs/>
          <w:sz w:val="18"/>
          <w:szCs w:val="18"/>
          <w:u w:color="000000"/>
          <w:lang w:val="lv-LV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966E00" w14:textId="77777777" w:rsidR="00907D3F" w:rsidRDefault="00907D3F" w:rsidP="00603495">
      <w:pPr>
        <w:rPr>
          <w:b/>
          <w:bCs/>
          <w:sz w:val="18"/>
          <w:szCs w:val="18"/>
          <w:u w:color="000000"/>
          <w:lang w:val="lv-LV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73D3BF4" w14:textId="77777777" w:rsidR="00907D3F" w:rsidRDefault="00907D3F" w:rsidP="00603495">
      <w:pPr>
        <w:rPr>
          <w:b/>
          <w:bCs/>
          <w:sz w:val="18"/>
          <w:szCs w:val="18"/>
          <w:u w:color="000000"/>
          <w:lang w:val="lv-LV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74FA49" w14:textId="77777777" w:rsidR="00907D3F" w:rsidRDefault="00907D3F" w:rsidP="00603495">
      <w:pPr>
        <w:rPr>
          <w:b/>
          <w:bCs/>
          <w:sz w:val="18"/>
          <w:szCs w:val="18"/>
          <w:u w:color="000000"/>
          <w:lang w:val="lv-LV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8C96EE" w14:textId="77777777" w:rsidR="00907D3F" w:rsidRDefault="00907D3F" w:rsidP="00603495">
      <w:pPr>
        <w:rPr>
          <w:b/>
          <w:bCs/>
          <w:sz w:val="18"/>
          <w:szCs w:val="18"/>
          <w:u w:color="000000"/>
          <w:lang w:val="lv-LV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E952BE" w14:textId="77777777" w:rsidR="00907D3F" w:rsidRDefault="00907D3F" w:rsidP="00603495">
      <w:pPr>
        <w:rPr>
          <w:b/>
          <w:bCs/>
          <w:sz w:val="18"/>
          <w:szCs w:val="18"/>
          <w:u w:color="000000"/>
          <w:lang w:val="lv-LV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800F17B" w14:textId="77777777" w:rsidR="00907D3F" w:rsidRDefault="00907D3F" w:rsidP="00603495">
      <w:pPr>
        <w:rPr>
          <w:b/>
          <w:bCs/>
          <w:sz w:val="18"/>
          <w:szCs w:val="18"/>
          <w:u w:color="000000"/>
          <w:lang w:val="lv-LV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C8DBF1" w14:textId="5B1822EE" w:rsidR="00603495" w:rsidRPr="00603495" w:rsidRDefault="00603495" w:rsidP="0060349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</w:pPr>
      <w:r w:rsidRPr="00603495">
        <w:rPr>
          <w:b/>
          <w:bCs/>
          <w:sz w:val="18"/>
          <w:szCs w:val="18"/>
          <w:u w:color="000000"/>
          <w:lang w:val="lv-LV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Shēma Nr. 2. AIC klīnisko izpausmju iedalījums</w:t>
      </w:r>
    </w:p>
    <w:p w14:paraId="0CAE5DE0" w14:textId="05DD3823" w:rsidR="002203C1" w:rsidRPr="00441818" w:rsidRDefault="002203C1" w:rsidP="002203C1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</w:pPr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Pētījumos konstatēts, ka bērniem vidējais caurejas sākšanās laiks ir </w:t>
      </w:r>
      <w:r w:rsidRPr="00441818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val="lv-LV"/>
        </w:rPr>
        <w:t>2,3 ± 1,1 diena</w:t>
      </w:r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 no antibiotiku uzsākšanas; tikai 8% gadījumu simptomi parādījās </w:t>
      </w:r>
      <w:r w:rsidR="00675B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vairāk kā </w:t>
      </w:r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15 dienas pēc terapijas beigām. PMK parasti attīstās pirmajā nedēļā, bet 40% gadījumu – vēlāk,</w:t>
      </w:r>
      <w:r w:rsidR="00675B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pat</w:t>
      </w:r>
      <w:r w:rsidRPr="004418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2–8 nedēļas pēc antibiotiku kursa </w:t>
      </w:r>
      <w:r w:rsidR="00DC7B0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[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Kaya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et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al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, 2023;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McFarland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et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al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, 2008</w:t>
      </w:r>
      <w:r w:rsidR="00DC7B0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].</w:t>
      </w:r>
    </w:p>
    <w:p w14:paraId="7E95AC9F" w14:textId="44D34D56" w:rsidR="00FC7A96" w:rsidRPr="000803F8" w:rsidRDefault="00F76B78" w:rsidP="00441818">
      <w:pPr>
        <w:pStyle w:val="Virsraksts2"/>
        <w:rPr>
          <w:rFonts w:ascii="Times New Roman" w:hAnsi="Times New Roman" w:cs="Times New Roman"/>
          <w:lang w:val="lv-LV"/>
        </w:rPr>
      </w:pPr>
      <w:bookmarkStart w:id="25" w:name="_Toc206573736"/>
      <w:bookmarkStart w:id="26" w:name="_Toc210136828"/>
      <w:bookmarkStart w:id="27" w:name="_Toc214625083"/>
      <w:r>
        <w:rPr>
          <w:rFonts w:ascii="Times New Roman" w:hAnsi="Times New Roman" w:cs="Times New Roman"/>
          <w:lang w:val="lv-LV"/>
        </w:rPr>
        <w:t>Antibiotiku izraisītas caurejas r</w:t>
      </w:r>
      <w:r w:rsidR="00FC7A96" w:rsidRPr="000803F8">
        <w:rPr>
          <w:rFonts w:ascii="Times New Roman" w:hAnsi="Times New Roman" w:cs="Times New Roman"/>
          <w:lang w:val="lv-LV"/>
        </w:rPr>
        <w:t>iska faktori</w:t>
      </w:r>
      <w:bookmarkEnd w:id="25"/>
      <w:bookmarkEnd w:id="26"/>
      <w:bookmarkEnd w:id="27"/>
      <w:r w:rsidR="002D6E4E" w:rsidRPr="000803F8">
        <w:rPr>
          <w:rFonts w:ascii="Times New Roman" w:hAnsi="Times New Roman" w:cs="Times New Roman"/>
          <w:lang w:val="lv-LV"/>
        </w:rPr>
        <w:t xml:space="preserve"> </w:t>
      </w:r>
    </w:p>
    <w:p w14:paraId="43247538" w14:textId="36B7E085" w:rsidR="00EB1A2D" w:rsidRPr="004F5261" w:rsidRDefault="00EB793B" w:rsidP="00EB1A2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4F5261">
        <w:rPr>
          <w:rFonts w:ascii="Times New Roman" w:hAnsi="Times New Roman" w:cs="Times New Roman"/>
          <w:sz w:val="24"/>
          <w:szCs w:val="24"/>
          <w:lang w:val="lv-LV"/>
        </w:rPr>
        <w:t>Antibiotiku izraisītas caurejas (AIC) attīstību nosaka vairāki faktori, kas saistīti ar pašu antibiotik</w:t>
      </w:r>
      <w:r w:rsidR="00675B51">
        <w:rPr>
          <w:rFonts w:ascii="Times New Roman" w:hAnsi="Times New Roman" w:cs="Times New Roman"/>
          <w:sz w:val="24"/>
          <w:szCs w:val="24"/>
          <w:lang w:val="lv-LV"/>
        </w:rPr>
        <w:t>as veidu</w:t>
      </w:r>
      <w:r w:rsidRPr="004F5261">
        <w:rPr>
          <w:rFonts w:ascii="Times New Roman" w:hAnsi="Times New Roman" w:cs="Times New Roman"/>
          <w:sz w:val="24"/>
          <w:szCs w:val="24"/>
          <w:lang w:val="lv-LV"/>
        </w:rPr>
        <w:t>, pacienta individuālajām īpatnībām un ārstēšanas apstākļiem</w:t>
      </w:r>
      <w:r w:rsidR="00B3735B">
        <w:rPr>
          <w:rFonts w:ascii="Times New Roman" w:hAnsi="Times New Roman" w:cs="Times New Roman"/>
          <w:sz w:val="24"/>
          <w:szCs w:val="24"/>
          <w:lang w:val="lv-LV"/>
        </w:rPr>
        <w:t xml:space="preserve"> [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Kaya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et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al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, 2023;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McFarland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et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al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, 2008;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Turck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et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al</w:t>
      </w:r>
      <w:proofErr w:type="spellEnd"/>
      <w:r w:rsidR="00DF05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, 2003</w:t>
      </w:r>
      <w:r w:rsidR="00B3735B">
        <w:rPr>
          <w:rFonts w:ascii="Times New Roman" w:hAnsi="Times New Roman" w:cs="Times New Roman"/>
          <w:sz w:val="24"/>
          <w:szCs w:val="24"/>
          <w:lang w:val="lv-LV"/>
        </w:rPr>
        <w:t>]</w:t>
      </w:r>
      <w:r w:rsidRPr="004F5261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288D6254" w14:textId="66CB26E5" w:rsidR="00633FB9" w:rsidRPr="004F5261" w:rsidRDefault="00EB793B" w:rsidP="00EB793B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</w:pPr>
      <w:r w:rsidRPr="004F526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val="lv-LV"/>
        </w:rPr>
        <w:t xml:space="preserve">1. </w:t>
      </w:r>
      <w:proofErr w:type="spellStart"/>
      <w:r w:rsidRPr="004F526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>A</w:t>
      </w:r>
      <w:r w:rsidR="00675B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>r</w:t>
      </w:r>
      <w:proofErr w:type="spellEnd"/>
      <w:r w:rsidR="00675B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675B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>a</w:t>
      </w:r>
      <w:r w:rsidRPr="004F526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>ntibiotiku</w:t>
      </w:r>
      <w:proofErr w:type="spellEnd"/>
      <w:r w:rsidR="00675B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675B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>veidu</w:t>
      </w:r>
      <w:proofErr w:type="spellEnd"/>
      <w:r w:rsidRPr="004F526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>saistītie</w:t>
      </w:r>
      <w:proofErr w:type="spellEnd"/>
      <w:r w:rsidRPr="004F526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>faktori</w:t>
      </w:r>
      <w:proofErr w:type="spellEnd"/>
    </w:p>
    <w:p w14:paraId="7C896685" w14:textId="78109D69" w:rsidR="00EB793B" w:rsidRPr="004F5261" w:rsidRDefault="00C30608" w:rsidP="00EB793B">
      <w:pPr>
        <w:pStyle w:val="Sarakstarindko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proofErr w:type="spellStart"/>
      <w:r w:rsidRPr="004F5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Antibiotiku</w:t>
      </w:r>
      <w:proofErr w:type="spellEnd"/>
      <w:r w:rsidRPr="004F5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veids</w:t>
      </w:r>
      <w:proofErr w:type="spellEnd"/>
      <w:r w:rsidRPr="004F5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Lai 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gan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AIC var 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izraisīt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jebkuras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antibiotikas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risks 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lielāks</w:t>
      </w:r>
      <w:proofErr w:type="spellEnd"/>
      <w:r w:rsidR="00675B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675B51">
        <w:rPr>
          <w:rFonts w:ascii="Times New Roman" w:hAnsi="Times New Roman" w:cs="Times New Roman"/>
          <w:sz w:val="24"/>
          <w:szCs w:val="24"/>
          <w:shd w:val="clear" w:color="auto" w:fill="FFFFFF"/>
        </w:rPr>
        <w:t>lietojot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plaša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spektra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preparāt</w:t>
      </w:r>
      <w:r w:rsidR="00B3735B">
        <w:rPr>
          <w:rFonts w:ascii="Times New Roman" w:hAnsi="Times New Roman" w:cs="Times New Roman"/>
          <w:sz w:val="24"/>
          <w:szCs w:val="24"/>
          <w:shd w:val="clear" w:color="auto" w:fill="FFFFFF"/>
        </w:rPr>
        <w:t>us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īpaši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aminopenicilīni</w:t>
      </w:r>
      <w:r w:rsidR="00B3735B">
        <w:rPr>
          <w:rFonts w:ascii="Times New Roman" w:hAnsi="Times New Roman" w:cs="Times New Roman"/>
          <w:sz w:val="24"/>
          <w:szCs w:val="24"/>
          <w:shd w:val="clear" w:color="auto" w:fill="FFFFFF"/>
        </w:rPr>
        <w:t>us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/bez</w:t>
      </w:r>
      <w:r w:rsidR="00B37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D1F09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lavulānskābes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), 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cefalosporīn</w:t>
      </w:r>
      <w:r w:rsidR="00B3735B">
        <w:rPr>
          <w:rFonts w:ascii="Times New Roman" w:hAnsi="Times New Roman" w:cs="Times New Roman"/>
          <w:sz w:val="24"/>
          <w:szCs w:val="24"/>
          <w:shd w:val="clear" w:color="auto" w:fill="FFFFFF"/>
        </w:rPr>
        <w:t>us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 un 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</w:rPr>
        <w:t>klindamicīn</w:t>
      </w:r>
      <w:r w:rsidR="00B3735B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proofErr w:type="spellEnd"/>
      <w:r w:rsidR="00DC7B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02E26FE" w14:textId="77777777" w:rsidR="00C30608" w:rsidRPr="004F5261" w:rsidRDefault="00C30608" w:rsidP="00C30608">
      <w:pPr>
        <w:pStyle w:val="Sarakstarindkopa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</w:p>
    <w:p w14:paraId="5E691D52" w14:textId="6AE0CF7D" w:rsidR="00C30608" w:rsidRPr="004F5261" w:rsidRDefault="00C30608" w:rsidP="00C30608">
      <w:pPr>
        <w:pStyle w:val="Sarakstarindkopa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Pediatriskiem pacientiem biežākie AIC cēloņi: 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amoksicilīns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/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klavulānskābe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(23%), penicilīns A (11%), 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eritromicīns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(16%)</w:t>
      </w:r>
      <w:r w:rsidR="00B3735B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</w:p>
    <w:p w14:paraId="77C3E4AD" w14:textId="77777777" w:rsidR="00C30608" w:rsidRPr="004F5261" w:rsidRDefault="00C30608" w:rsidP="00C30608">
      <w:pPr>
        <w:pStyle w:val="Sarakstarindkopa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</w:p>
    <w:p w14:paraId="0E08A618" w14:textId="4A62F765" w:rsidR="00C30608" w:rsidRPr="004F5261" w:rsidRDefault="00C30608" w:rsidP="00C30608">
      <w:pPr>
        <w:pStyle w:val="Sarakstarindko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4F5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  <w:t>Darbības spektrs.</w:t>
      </w:r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 Plaša spektra antibiotikas izjauc anaerobo 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mikrobiotu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, samazina </w:t>
      </w:r>
      <w:r w:rsidR="00B3735B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īso ķēžu taukskābju</w:t>
      </w:r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līmeni un veicina </w:t>
      </w:r>
      <w:proofErr w:type="spellStart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disbiozi</w:t>
      </w:r>
      <w:proofErr w:type="spellEnd"/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 Šaur</w:t>
      </w:r>
      <w:r w:rsidR="00570F0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</w:t>
      </w:r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spektra </w:t>
      </w:r>
      <w:r w:rsidR="00570F0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antibakteriāli </w:t>
      </w:r>
      <w:r w:rsidRPr="004F52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preparāti izraisa AIC retāk.</w:t>
      </w:r>
    </w:p>
    <w:p w14:paraId="0244EE20" w14:textId="0CFF002D" w:rsidR="00C30608" w:rsidRPr="004F5261" w:rsidRDefault="00C30608" w:rsidP="00C30608">
      <w:pPr>
        <w:pStyle w:val="Sarakstarindkopa"/>
        <w:numPr>
          <w:ilvl w:val="0"/>
          <w:numId w:val="17"/>
        </w:numPr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</w:pPr>
      <w:r w:rsidRPr="004F5261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Absorbcija.</w:t>
      </w:r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 Antibiotikas, kas </w:t>
      </w:r>
      <w:r w:rsidRPr="004F5261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val="lv-LV"/>
          <w14:ligatures w14:val="none"/>
        </w:rPr>
        <w:t>slikti absorbējas</w:t>
      </w:r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 vai izdalās ar žulti (</w:t>
      </w:r>
      <w:proofErr w:type="spellStart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klindamicīns</w:t>
      </w:r>
      <w:proofErr w:type="spellEnd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 xml:space="preserve">, </w:t>
      </w:r>
      <w:proofErr w:type="spellStart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cefiksīms</w:t>
      </w:r>
      <w:proofErr w:type="spellEnd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 xml:space="preserve">, </w:t>
      </w:r>
      <w:proofErr w:type="spellStart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ceftriaksons</w:t>
      </w:r>
      <w:proofErr w:type="spellEnd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 xml:space="preserve">, </w:t>
      </w:r>
      <w:proofErr w:type="spellStart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>cefoperazons</w:t>
      </w:r>
      <w:proofErr w:type="spellEnd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  <w:t xml:space="preserve">), biežāk izraisa AIC. </w:t>
      </w:r>
      <w:proofErr w:type="spellStart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Savukārt</w:t>
      </w:r>
      <w:proofErr w:type="spellEnd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labi</w:t>
      </w:r>
      <w:proofErr w:type="spellEnd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absorbējošas</w:t>
      </w:r>
      <w:proofErr w:type="spellEnd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(</w:t>
      </w:r>
      <w:proofErr w:type="spellStart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piem</w:t>
      </w:r>
      <w:r w:rsidR="00B3735B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ēram</w:t>
      </w:r>
      <w:proofErr w:type="spellEnd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, </w:t>
      </w:r>
      <w:proofErr w:type="spellStart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doksiciklīns</w:t>
      </w:r>
      <w:proofErr w:type="spellEnd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, cefaclor) – </w:t>
      </w:r>
      <w:proofErr w:type="spellStart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retāk</w:t>
      </w:r>
      <w:proofErr w:type="spellEnd"/>
      <w:r w:rsidR="00570F0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="00570F0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izraisa</w:t>
      </w:r>
      <w:proofErr w:type="spellEnd"/>
      <w:r w:rsidR="00570F0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AIC</w:t>
      </w:r>
      <w:r w:rsidR="00DC7B06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.</w:t>
      </w:r>
    </w:p>
    <w:p w14:paraId="4492E835" w14:textId="17F5169A" w:rsidR="00C30608" w:rsidRPr="004F5261" w:rsidRDefault="00C30608" w:rsidP="00C30608">
      <w:pPr>
        <w:pStyle w:val="Sarakstarindkopa"/>
        <w:numPr>
          <w:ilvl w:val="0"/>
          <w:numId w:val="17"/>
        </w:numPr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val="lv-LV"/>
          <w14:ligatures w14:val="none"/>
        </w:rPr>
      </w:pPr>
      <w:proofErr w:type="spellStart"/>
      <w:r w:rsidRPr="004F5261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14:ligatures w14:val="none"/>
        </w:rPr>
        <w:t>Terapijas</w:t>
      </w:r>
      <w:proofErr w:type="spellEnd"/>
      <w:r w:rsidRPr="004F5261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Pr="004F5261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14:ligatures w14:val="none"/>
        </w:rPr>
        <w:t>ilgums</w:t>
      </w:r>
      <w:proofErr w:type="spellEnd"/>
      <w:r w:rsidRPr="004F5261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14:ligatures w14:val="none"/>
        </w:rPr>
        <w:t>.</w:t>
      </w:r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 </w:t>
      </w:r>
      <w:r w:rsidR="00570F0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AIC r</w:t>
      </w:r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isks </w:t>
      </w:r>
      <w:proofErr w:type="spellStart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būtiski</w:t>
      </w:r>
      <w:proofErr w:type="spellEnd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pieaug</w:t>
      </w:r>
      <w:proofErr w:type="spellEnd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, ja </w:t>
      </w:r>
      <w:proofErr w:type="spellStart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antibiotik</w:t>
      </w:r>
      <w:r w:rsidR="00570F0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u</w:t>
      </w:r>
      <w:proofErr w:type="spellEnd"/>
      <w:r w:rsidR="00570F0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="00570F0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lietošanas</w:t>
      </w:r>
      <w:proofErr w:type="spellEnd"/>
      <w:r w:rsidR="00570F0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="00570F0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ilgums</w:t>
      </w:r>
      <w:proofErr w:type="spellEnd"/>
      <w:r w:rsidR="00570F0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="00570F0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ir</w:t>
      </w:r>
      <w:proofErr w:type="spellEnd"/>
      <w:r w:rsidR="00570F0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</w:t>
      </w:r>
      <w:proofErr w:type="spellStart"/>
      <w:r w:rsidR="00570F0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vairāk</w:t>
      </w:r>
      <w:proofErr w:type="spellEnd"/>
      <w:r w:rsidR="00570F0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 kā</w:t>
      </w:r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 xml:space="preserve">3 </w:t>
      </w:r>
      <w:proofErr w:type="spellStart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dienas</w:t>
      </w:r>
      <w:proofErr w:type="spellEnd"/>
      <w:r w:rsidRPr="004F526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14:ligatures w14:val="none"/>
        </w:rPr>
        <w:t>.</w:t>
      </w:r>
    </w:p>
    <w:p w14:paraId="4665A044" w14:textId="77777777" w:rsidR="00C30608" w:rsidRPr="004F5261" w:rsidRDefault="00C30608" w:rsidP="00C30608">
      <w:pPr>
        <w:pStyle w:val="Sarakstarindkopa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</w:pPr>
    </w:p>
    <w:p w14:paraId="0CF210A2" w14:textId="4EF8872D" w:rsidR="00C30608" w:rsidRPr="004F5261" w:rsidRDefault="00C30608" w:rsidP="00C30608">
      <w:pPr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</w:pPr>
      <w:r w:rsidRPr="004F5261"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  <w:t xml:space="preserve">2. </w:t>
      </w:r>
      <w:proofErr w:type="spellStart"/>
      <w:r w:rsidRPr="004F5261"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  <w:t>Pacienta</w:t>
      </w:r>
      <w:proofErr w:type="spellEnd"/>
      <w:r w:rsidRPr="004F5261"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  <w:t>faktori</w:t>
      </w:r>
      <w:proofErr w:type="spellEnd"/>
    </w:p>
    <w:p w14:paraId="5A86BADB" w14:textId="671C305F" w:rsidR="00C30608" w:rsidRPr="004F5261" w:rsidRDefault="00C30608" w:rsidP="00C30608">
      <w:pPr>
        <w:pStyle w:val="Paraststmeklis"/>
        <w:numPr>
          <w:ilvl w:val="0"/>
          <w:numId w:val="19"/>
        </w:numPr>
      </w:pPr>
      <w:proofErr w:type="spellStart"/>
      <w:r w:rsidRPr="004F5261">
        <w:t>Vecums</w:t>
      </w:r>
      <w:proofErr w:type="spellEnd"/>
      <w:r w:rsidRPr="004F5261">
        <w:t xml:space="preserve">: </w:t>
      </w:r>
      <w:proofErr w:type="spellStart"/>
      <w:r w:rsidRPr="004F5261">
        <w:t>visbiežāk</w:t>
      </w:r>
      <w:proofErr w:type="spellEnd"/>
      <w:r w:rsidRPr="004F5261">
        <w:t xml:space="preserve"> AIC </w:t>
      </w:r>
      <w:proofErr w:type="spellStart"/>
      <w:r w:rsidRPr="004F5261">
        <w:t>rodas</w:t>
      </w:r>
      <w:proofErr w:type="spellEnd"/>
      <w:r w:rsidRPr="004F5261">
        <w:rPr>
          <w:rStyle w:val="apple-converted-space"/>
          <w:rFonts w:eastAsiaTheme="majorEastAsia"/>
        </w:rPr>
        <w:t> </w:t>
      </w:r>
      <w:proofErr w:type="spellStart"/>
      <w:r w:rsidRPr="004F5261">
        <w:rPr>
          <w:rStyle w:val="Izteiksmgs"/>
          <w:rFonts w:eastAsiaTheme="majorEastAsia"/>
        </w:rPr>
        <w:t>zīdaiņiem</w:t>
      </w:r>
      <w:proofErr w:type="spellEnd"/>
      <w:r w:rsidRPr="004F5261">
        <w:rPr>
          <w:rStyle w:val="Izteiksmgs"/>
          <w:rFonts w:eastAsiaTheme="majorEastAsia"/>
        </w:rPr>
        <w:t xml:space="preserve"> un </w:t>
      </w:r>
      <w:proofErr w:type="spellStart"/>
      <w:r w:rsidRPr="004F5261">
        <w:rPr>
          <w:rStyle w:val="Izteiksmgs"/>
          <w:rFonts w:eastAsiaTheme="majorEastAsia"/>
        </w:rPr>
        <w:t>pirmsskolas</w:t>
      </w:r>
      <w:proofErr w:type="spellEnd"/>
      <w:r w:rsidRPr="004F5261">
        <w:rPr>
          <w:rStyle w:val="Izteiksmgs"/>
          <w:rFonts w:eastAsiaTheme="majorEastAsia"/>
        </w:rPr>
        <w:t xml:space="preserve"> </w:t>
      </w:r>
      <w:proofErr w:type="spellStart"/>
      <w:r w:rsidRPr="004F5261">
        <w:rPr>
          <w:rStyle w:val="Izteiksmgs"/>
          <w:rFonts w:eastAsiaTheme="majorEastAsia"/>
        </w:rPr>
        <w:t>vecuma</w:t>
      </w:r>
      <w:proofErr w:type="spellEnd"/>
      <w:r w:rsidRPr="004F5261">
        <w:rPr>
          <w:rStyle w:val="Izteiksmgs"/>
          <w:rFonts w:eastAsiaTheme="majorEastAsia"/>
        </w:rPr>
        <w:t xml:space="preserve"> </w:t>
      </w:r>
      <w:proofErr w:type="spellStart"/>
      <w:r w:rsidRPr="004F5261">
        <w:rPr>
          <w:rStyle w:val="Izteiksmgs"/>
          <w:rFonts w:eastAsiaTheme="majorEastAsia"/>
        </w:rPr>
        <w:t>bērniem</w:t>
      </w:r>
      <w:proofErr w:type="spellEnd"/>
      <w:r w:rsidR="00B3735B">
        <w:t>, un</w:t>
      </w:r>
      <w:r w:rsidRPr="004F5261">
        <w:t xml:space="preserve"> </w:t>
      </w:r>
      <w:proofErr w:type="spellStart"/>
      <w:r w:rsidRPr="004F5261">
        <w:t>pieaugušajiem</w:t>
      </w:r>
      <w:proofErr w:type="spellEnd"/>
      <w:r w:rsidRPr="004F5261">
        <w:t xml:space="preserve"> </w:t>
      </w:r>
      <w:proofErr w:type="spellStart"/>
      <w:r w:rsidR="00570F03">
        <w:t>virs</w:t>
      </w:r>
      <w:proofErr w:type="spellEnd"/>
      <w:r w:rsidR="00570F03">
        <w:t xml:space="preserve"> </w:t>
      </w:r>
      <w:r w:rsidRPr="004F5261">
        <w:t xml:space="preserve">50 </w:t>
      </w:r>
      <w:proofErr w:type="spellStart"/>
      <w:r w:rsidRPr="004F5261">
        <w:t>g</w:t>
      </w:r>
      <w:r w:rsidR="00570F03">
        <w:t>adu</w:t>
      </w:r>
      <w:proofErr w:type="spellEnd"/>
      <w:r w:rsidR="00570F03">
        <w:t xml:space="preserve"> </w:t>
      </w:r>
      <w:proofErr w:type="spellStart"/>
      <w:r w:rsidR="00570F03">
        <w:t>vecuma</w:t>
      </w:r>
      <w:proofErr w:type="spellEnd"/>
      <w:r w:rsidRPr="004F5261">
        <w:t>.</w:t>
      </w:r>
    </w:p>
    <w:p w14:paraId="0896A1F7" w14:textId="77777777" w:rsidR="00C30608" w:rsidRPr="004F5261" w:rsidRDefault="00C30608" w:rsidP="00C30608">
      <w:pPr>
        <w:pStyle w:val="Paraststmeklis"/>
        <w:numPr>
          <w:ilvl w:val="0"/>
          <w:numId w:val="19"/>
        </w:numPr>
      </w:pPr>
      <w:proofErr w:type="spellStart"/>
      <w:r w:rsidRPr="004F5261">
        <w:t>Iepriekšējas</w:t>
      </w:r>
      <w:proofErr w:type="spellEnd"/>
      <w:r w:rsidRPr="004F5261">
        <w:t xml:space="preserve"> AIC </w:t>
      </w:r>
      <w:proofErr w:type="spellStart"/>
      <w:r w:rsidRPr="004F5261">
        <w:t>epizodes</w:t>
      </w:r>
      <w:proofErr w:type="spellEnd"/>
      <w:r w:rsidRPr="004F5261">
        <w:t xml:space="preserve"> </w:t>
      </w:r>
      <w:proofErr w:type="spellStart"/>
      <w:r w:rsidRPr="004F5261">
        <w:t>anamnēzē</w:t>
      </w:r>
      <w:proofErr w:type="spellEnd"/>
      <w:r w:rsidRPr="004F5261">
        <w:t>.</w:t>
      </w:r>
    </w:p>
    <w:p w14:paraId="1B231C7B" w14:textId="078A6163" w:rsidR="00C30608" w:rsidRPr="004F5261" w:rsidRDefault="00C30608" w:rsidP="00C30608">
      <w:pPr>
        <w:pStyle w:val="Paraststmeklis"/>
        <w:numPr>
          <w:ilvl w:val="0"/>
          <w:numId w:val="19"/>
        </w:numPr>
      </w:pPr>
      <w:proofErr w:type="spellStart"/>
      <w:r w:rsidRPr="004F5261">
        <w:t>Komorbiditāte</w:t>
      </w:r>
      <w:proofErr w:type="spellEnd"/>
      <w:r w:rsidRPr="004F5261">
        <w:t xml:space="preserve">: </w:t>
      </w:r>
      <w:proofErr w:type="spellStart"/>
      <w:r w:rsidRPr="004F5261">
        <w:t>hroniskas</w:t>
      </w:r>
      <w:proofErr w:type="spellEnd"/>
      <w:r w:rsidRPr="004F5261">
        <w:t xml:space="preserve"> </w:t>
      </w:r>
      <w:proofErr w:type="spellStart"/>
      <w:r w:rsidRPr="004F5261">
        <w:t>slimības</w:t>
      </w:r>
      <w:proofErr w:type="spellEnd"/>
      <w:r w:rsidRPr="004F5261">
        <w:t xml:space="preserve">, </w:t>
      </w:r>
      <w:proofErr w:type="spellStart"/>
      <w:r w:rsidRPr="004F5261">
        <w:t>imūnsupresija</w:t>
      </w:r>
      <w:proofErr w:type="spellEnd"/>
      <w:r w:rsidRPr="004F5261">
        <w:t>.</w:t>
      </w:r>
    </w:p>
    <w:p w14:paraId="5BA57CAA" w14:textId="4A6EE3B9" w:rsidR="00C30608" w:rsidRPr="004F5261" w:rsidRDefault="00C30608" w:rsidP="00C30608">
      <w:pPr>
        <w:pStyle w:val="Paraststmeklis"/>
        <w:numPr>
          <w:ilvl w:val="0"/>
          <w:numId w:val="19"/>
        </w:numPr>
      </w:pPr>
      <w:proofErr w:type="spellStart"/>
      <w:r w:rsidRPr="004F5261">
        <w:t>Samazināta</w:t>
      </w:r>
      <w:proofErr w:type="spellEnd"/>
      <w:r w:rsidRPr="004F5261">
        <w:t xml:space="preserve"> </w:t>
      </w:r>
      <w:proofErr w:type="spellStart"/>
      <w:r w:rsidRPr="004F5261">
        <w:t>imūnsistēmas</w:t>
      </w:r>
      <w:proofErr w:type="spellEnd"/>
      <w:r w:rsidRPr="004F5261">
        <w:t xml:space="preserve"> </w:t>
      </w:r>
      <w:proofErr w:type="spellStart"/>
      <w:r w:rsidRPr="004F5261">
        <w:t>atbildes</w:t>
      </w:r>
      <w:proofErr w:type="spellEnd"/>
      <w:r w:rsidRPr="004F5261">
        <w:t xml:space="preserve"> </w:t>
      </w:r>
      <w:proofErr w:type="spellStart"/>
      <w:r w:rsidRPr="004F5261">
        <w:t>reakcija</w:t>
      </w:r>
      <w:proofErr w:type="spellEnd"/>
      <w:r w:rsidRPr="004F5261">
        <w:t>.</w:t>
      </w:r>
    </w:p>
    <w:p w14:paraId="795345CB" w14:textId="77777777" w:rsidR="00C30608" w:rsidRPr="004F5261" w:rsidRDefault="00C30608" w:rsidP="00C30608">
      <w:pPr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</w:pPr>
      <w:r w:rsidRPr="004F5261"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  <w:t xml:space="preserve">3. </w:t>
      </w:r>
      <w:proofErr w:type="spellStart"/>
      <w:r w:rsidRPr="004F5261"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  <w:t>Ārstēšanas</w:t>
      </w:r>
      <w:proofErr w:type="spellEnd"/>
      <w:r w:rsidRPr="004F5261"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  <w:t xml:space="preserve"> un </w:t>
      </w:r>
      <w:proofErr w:type="spellStart"/>
      <w:r w:rsidRPr="004F5261"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  <w:t>aprūpes</w:t>
      </w:r>
      <w:proofErr w:type="spellEnd"/>
      <w:r w:rsidRPr="004F5261"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  <w:t>faktori</w:t>
      </w:r>
      <w:proofErr w:type="spellEnd"/>
    </w:p>
    <w:p w14:paraId="0AA96A5F" w14:textId="77777777" w:rsidR="00C30608" w:rsidRPr="004F5261" w:rsidRDefault="00C30608" w:rsidP="00C30608">
      <w:pPr>
        <w:pStyle w:val="Sarakstarindkopa"/>
        <w:numPr>
          <w:ilvl w:val="0"/>
          <w:numId w:val="20"/>
        </w:num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Hospitalizācija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īpaši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ilgstoša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20626819" w14:textId="2FA0577F" w:rsidR="00C30608" w:rsidRPr="004F5261" w:rsidRDefault="00C30608" w:rsidP="00C30608">
      <w:pPr>
        <w:pStyle w:val="Sarakstarindkopa"/>
        <w:numPr>
          <w:ilvl w:val="0"/>
          <w:numId w:val="20"/>
        </w:num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Nazogastrāl</w:t>
      </w:r>
      <w:r w:rsidR="00B3735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as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zond</w:t>
      </w:r>
      <w:r w:rsidR="00B3735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es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izmantošana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enterālā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barošana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7A4059A6" w14:textId="77777777" w:rsidR="00C30608" w:rsidRPr="004F5261" w:rsidRDefault="00C30608" w:rsidP="00C30608">
      <w:pPr>
        <w:pStyle w:val="Sarakstarindkopa"/>
        <w:numPr>
          <w:ilvl w:val="0"/>
          <w:numId w:val="20"/>
        </w:num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Citotoksisku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un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imūnsupresīvu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medikamentu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lietošana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6107BE57" w14:textId="1C10921A" w:rsidR="00C30608" w:rsidRPr="004F5261" w:rsidRDefault="00C30608" w:rsidP="00C30608">
      <w:pPr>
        <w:pStyle w:val="Sarakstarindkopa"/>
        <w:numPr>
          <w:ilvl w:val="0"/>
          <w:numId w:val="20"/>
        </w:num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Antacīdu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un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protonu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sūkņa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inhibitoru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lietošana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04E66C77" w14:textId="6DEA76BB" w:rsidR="001E40FA" w:rsidRPr="004F5261" w:rsidRDefault="00C30608" w:rsidP="00C30608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4F5261"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  <w:lastRenderedPageBreak/>
        <w:t xml:space="preserve">4. </w:t>
      </w:r>
      <w:proofErr w:type="spellStart"/>
      <w:r w:rsidRPr="004F5261"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  <w:t>Etioloģiskie</w:t>
      </w:r>
      <w:proofErr w:type="spellEnd"/>
      <w:r w:rsidRPr="004F5261"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u w:val="single"/>
          <w:shd w:val="clear" w:color="auto" w:fill="FFFFFF"/>
        </w:rPr>
        <w:t>aģenti</w:t>
      </w:r>
      <w:proofErr w:type="spellEnd"/>
      <w:r w:rsidRPr="004F5261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br/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Lielākā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daļa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570F0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AIC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gadījumu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saistīti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ar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 </w:t>
      </w:r>
      <w:r w:rsidRPr="004F5261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Cl</w:t>
      </w:r>
      <w:r w:rsidR="00B3735B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.</w:t>
      </w:r>
      <w:r w:rsidRPr="004F5261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 difficile</w:t>
      </w:r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Tomēr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iespējami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arī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citi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patogēni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: </w:t>
      </w:r>
      <w:r w:rsidRPr="004F5261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Klebsiella </w:t>
      </w:r>
      <w:proofErr w:type="spellStart"/>
      <w:r w:rsidRPr="004F5261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oxytoca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4F5261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Staphylococcus aureus</w:t>
      </w:r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4F5261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Candida albicans</w:t>
      </w:r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retāk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– </w:t>
      </w:r>
      <w:r w:rsidRPr="004F5261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Campylobacter </w:t>
      </w:r>
      <w:proofErr w:type="spellStart"/>
      <w:r w:rsidRPr="004F5261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jejuni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vīrusi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3299DA83" w14:textId="5360A33D" w:rsidR="00C30608" w:rsidRDefault="00C30608" w:rsidP="00C30608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Šo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riska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faktoru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izvērtēšana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ir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būtiska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pieņemot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lēmumu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par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probiotiku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profilaktisku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lietošanu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un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antibakteriālās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terapijas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taktikas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izvēli</w:t>
      </w:r>
      <w:proofErr w:type="spellEnd"/>
      <w:r w:rsidRPr="004F526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bookmarkStart w:id="28" w:name="_Toc206573737"/>
    </w:p>
    <w:p w14:paraId="2D9B62EE" w14:textId="79133F48" w:rsidR="004F5261" w:rsidRPr="004F5261" w:rsidRDefault="004837A1" w:rsidP="00C30608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Tabula Nr. </w:t>
      </w:r>
      <w:r w:rsidR="007B3DB5">
        <w:rPr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>
        <w:rPr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4837A1">
        <w:rPr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Antibiotiku</w:t>
      </w:r>
      <w:proofErr w:type="spellEnd"/>
      <w:r w:rsidRPr="004837A1">
        <w:rPr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4837A1">
        <w:rPr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izraisītas</w:t>
      </w:r>
      <w:proofErr w:type="spellEnd"/>
      <w:r w:rsidRPr="004837A1">
        <w:rPr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4837A1">
        <w:rPr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caurejas</w:t>
      </w:r>
      <w:proofErr w:type="spellEnd"/>
      <w:r w:rsidRPr="004837A1">
        <w:rPr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4837A1">
        <w:rPr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riska</w:t>
      </w:r>
      <w:proofErr w:type="spellEnd"/>
      <w:r w:rsidRPr="004837A1">
        <w:rPr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4837A1">
        <w:rPr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faktori</w:t>
      </w:r>
      <w:proofErr w:type="spellEnd"/>
      <w:r w:rsidR="00DC7B06">
        <w:rPr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02"/>
        <w:gridCol w:w="3431"/>
        <w:gridCol w:w="3117"/>
      </w:tblGrid>
      <w:tr w:rsidR="00C30608" w14:paraId="146CE86A" w14:textId="77777777" w:rsidTr="00570F03">
        <w:tc>
          <w:tcPr>
            <w:tcW w:w="2802" w:type="dxa"/>
          </w:tcPr>
          <w:p w14:paraId="023FBFCC" w14:textId="30CB3444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 xml:space="preserve">Faktors </w:t>
            </w:r>
          </w:p>
        </w:tc>
        <w:tc>
          <w:tcPr>
            <w:tcW w:w="3431" w:type="dxa"/>
          </w:tcPr>
          <w:p w14:paraId="62AD9E78" w14:textId="13A8D003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r w:rsidRPr="00A15F3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lv-LV"/>
              </w:rPr>
              <w:t xml:space="preserve">Augsts risks </w:t>
            </w:r>
          </w:p>
        </w:tc>
        <w:tc>
          <w:tcPr>
            <w:tcW w:w="3117" w:type="dxa"/>
          </w:tcPr>
          <w:p w14:paraId="39A545A0" w14:textId="186291E6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r w:rsidRPr="00A15F3F">
              <w:rPr>
                <w:rFonts w:ascii="Times New Roman" w:hAnsi="Times New Roman" w:cs="Times New Roman"/>
                <w:color w:val="4EA72E" w:themeColor="accent6"/>
                <w:sz w:val="24"/>
                <w:szCs w:val="24"/>
                <w:shd w:val="clear" w:color="auto" w:fill="FFFFFF"/>
                <w:lang w:val="lv-LV"/>
              </w:rPr>
              <w:t xml:space="preserve">Zems risks </w:t>
            </w:r>
          </w:p>
        </w:tc>
      </w:tr>
      <w:tr w:rsidR="00C30608" w14:paraId="10A15054" w14:textId="77777777" w:rsidTr="00570F03">
        <w:tc>
          <w:tcPr>
            <w:tcW w:w="2802" w:type="dxa"/>
          </w:tcPr>
          <w:p w14:paraId="311CE374" w14:textId="09120C8A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Antibiotiku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veids</w:t>
            </w:r>
            <w:proofErr w:type="spellEnd"/>
          </w:p>
        </w:tc>
        <w:tc>
          <w:tcPr>
            <w:tcW w:w="3431" w:type="dxa"/>
          </w:tcPr>
          <w:p w14:paraId="3C4EB4C7" w14:textId="220EAC4C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Plaša spektra (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aminopenicilīni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 xml:space="preserve"> ±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klavulānskābe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 xml:space="preserve">,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cefalosporīni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 xml:space="preserve">,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klindamicīns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)</w:t>
            </w:r>
          </w:p>
        </w:tc>
        <w:tc>
          <w:tcPr>
            <w:tcW w:w="3117" w:type="dxa"/>
          </w:tcPr>
          <w:p w14:paraId="327A15C1" w14:textId="1935419A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 xml:space="preserve">Šaura spektra </w:t>
            </w:r>
          </w:p>
        </w:tc>
      </w:tr>
      <w:tr w:rsidR="00C30608" w14:paraId="0B477678" w14:textId="77777777" w:rsidTr="00570F03">
        <w:tc>
          <w:tcPr>
            <w:tcW w:w="2802" w:type="dxa"/>
          </w:tcPr>
          <w:p w14:paraId="1793575F" w14:textId="567D7629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Antibiotiku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absorbcija</w:t>
            </w:r>
            <w:proofErr w:type="spellEnd"/>
          </w:p>
        </w:tc>
        <w:tc>
          <w:tcPr>
            <w:tcW w:w="3431" w:type="dxa"/>
          </w:tcPr>
          <w:p w14:paraId="0A8B9B7A" w14:textId="37680376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Slikti absorbējas vai izdalās ar žulti (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klindamicīns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 xml:space="preserve">,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cefiksīms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 xml:space="preserve">,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ceftriaksons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 xml:space="preserve">,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cefoperazons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)</w:t>
            </w:r>
          </w:p>
        </w:tc>
        <w:tc>
          <w:tcPr>
            <w:tcW w:w="3117" w:type="dxa"/>
          </w:tcPr>
          <w:p w14:paraId="28D84122" w14:textId="1A5A923D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Labi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absorbējas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doksiciklīns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, cefaclor)</w:t>
            </w:r>
          </w:p>
        </w:tc>
      </w:tr>
      <w:tr w:rsidR="00C30608" w14:paraId="2BA74CEF" w14:textId="77777777" w:rsidTr="00570F03">
        <w:tc>
          <w:tcPr>
            <w:tcW w:w="2802" w:type="dxa"/>
          </w:tcPr>
          <w:p w14:paraId="4F988726" w14:textId="64395C28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Terapijas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ilgums</w:t>
            </w:r>
            <w:proofErr w:type="spellEnd"/>
          </w:p>
        </w:tc>
        <w:tc>
          <w:tcPr>
            <w:tcW w:w="3431" w:type="dxa"/>
          </w:tcPr>
          <w:p w14:paraId="2985A76E" w14:textId="5F302DF2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&gt;3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dienas</w:t>
            </w:r>
            <w:proofErr w:type="spellEnd"/>
          </w:p>
        </w:tc>
        <w:tc>
          <w:tcPr>
            <w:tcW w:w="3117" w:type="dxa"/>
          </w:tcPr>
          <w:p w14:paraId="0774ECA6" w14:textId="6699A7FB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≤3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dienas</w:t>
            </w:r>
            <w:proofErr w:type="spellEnd"/>
          </w:p>
        </w:tc>
      </w:tr>
      <w:tr w:rsidR="00C30608" w:rsidRPr="000803F8" w14:paraId="3625F0F5" w14:textId="77777777" w:rsidTr="00570F03">
        <w:tc>
          <w:tcPr>
            <w:tcW w:w="2802" w:type="dxa"/>
          </w:tcPr>
          <w:p w14:paraId="4C3F423E" w14:textId="22AA5AC9" w:rsidR="00C30608" w:rsidRDefault="00B3735B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V</w:t>
            </w:r>
            <w:proofErr w:type="spellStart"/>
            <w:r w:rsidR="00C30608"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ecums</w:t>
            </w:r>
            <w:proofErr w:type="spellEnd"/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31" w:type="dxa"/>
          </w:tcPr>
          <w:p w14:paraId="31DD2110" w14:textId="6B52F211" w:rsidR="00C30608" w:rsidRP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 xml:space="preserve">Zīdaiņi, pirmsskolas </w:t>
            </w:r>
            <w:r w:rsidR="005A514F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 xml:space="preserve">vecuma </w:t>
            </w:r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 xml:space="preserve">bērni; pieaugušie &gt;50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g.v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  <w:tc>
          <w:tcPr>
            <w:tcW w:w="3117" w:type="dxa"/>
          </w:tcPr>
          <w:p w14:paraId="0B4A22CE" w14:textId="3FAF3CA0" w:rsidR="00C30608" w:rsidRDefault="00B3735B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Skolas vecuma bērni un pusaudži</w:t>
            </w:r>
            <w:r w:rsidR="00C30608"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 xml:space="preserve">, pieaugušie &lt;50 </w:t>
            </w:r>
            <w:proofErr w:type="spellStart"/>
            <w:r w:rsidR="00C30608"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g.v</w:t>
            </w:r>
            <w:proofErr w:type="spellEnd"/>
            <w:r w:rsidR="00C30608"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</w:tr>
      <w:tr w:rsidR="00C30608" w14:paraId="64529509" w14:textId="77777777" w:rsidTr="00570F03">
        <w:tc>
          <w:tcPr>
            <w:tcW w:w="2802" w:type="dxa"/>
          </w:tcPr>
          <w:p w14:paraId="6899C2B7" w14:textId="6474391E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Hospitalizācija</w:t>
            </w:r>
            <w:proofErr w:type="spellEnd"/>
          </w:p>
        </w:tc>
        <w:tc>
          <w:tcPr>
            <w:tcW w:w="3431" w:type="dxa"/>
          </w:tcPr>
          <w:p w14:paraId="6DCFCCE8" w14:textId="430C3D75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Ilgstoša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hospitalizācija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nazogastrāla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zonde</w:t>
            </w:r>
            <w:proofErr w:type="spellEnd"/>
          </w:p>
        </w:tc>
        <w:tc>
          <w:tcPr>
            <w:tcW w:w="3117" w:type="dxa"/>
          </w:tcPr>
          <w:p w14:paraId="57F4C5BC" w14:textId="175F4916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Īslaicīga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hospitalizācija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vai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ambulatora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ārstēšana</w:t>
            </w:r>
            <w:proofErr w:type="spellEnd"/>
          </w:p>
        </w:tc>
      </w:tr>
      <w:tr w:rsidR="00C30608" w14:paraId="46D938F1" w14:textId="77777777" w:rsidTr="00570F03">
        <w:tc>
          <w:tcPr>
            <w:tcW w:w="2802" w:type="dxa"/>
          </w:tcPr>
          <w:p w14:paraId="4F2C6F02" w14:textId="74E39D09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Anamnēze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un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blakusslimības</w:t>
            </w:r>
            <w:proofErr w:type="spellEnd"/>
          </w:p>
        </w:tc>
        <w:tc>
          <w:tcPr>
            <w:tcW w:w="3431" w:type="dxa"/>
          </w:tcPr>
          <w:p w14:paraId="76AB796A" w14:textId="551075CC" w:rsidR="00C30608" w:rsidRDefault="00C30608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Iepriekšēja AIC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epizode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hroniskas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slimības</w:t>
            </w:r>
            <w:proofErr w:type="spellEnd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608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imūnsupresija</w:t>
            </w:r>
            <w:proofErr w:type="spellEnd"/>
          </w:p>
        </w:tc>
        <w:tc>
          <w:tcPr>
            <w:tcW w:w="3117" w:type="dxa"/>
          </w:tcPr>
          <w:p w14:paraId="2B5DC19C" w14:textId="11441F38" w:rsidR="00C30608" w:rsidRDefault="00A15F3F" w:rsidP="00C30608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  <w:lang w:val="lv-LV"/>
              </w:rPr>
            </w:pPr>
            <w:r w:rsidRPr="00A15F3F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Bez </w:t>
            </w:r>
            <w:proofErr w:type="spellStart"/>
            <w:r w:rsidRPr="00A15F3F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nozīmīgām</w:t>
            </w:r>
            <w:proofErr w:type="spellEnd"/>
            <w:r w:rsidRPr="00A15F3F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5F3F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blakusslimībām</w:t>
            </w:r>
            <w:proofErr w:type="spellEnd"/>
          </w:p>
        </w:tc>
      </w:tr>
    </w:tbl>
    <w:p w14:paraId="1C7A8D16" w14:textId="77777777" w:rsidR="00C30608" w:rsidRPr="00C30608" w:rsidRDefault="00C30608" w:rsidP="00C30608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</w:pPr>
    </w:p>
    <w:p w14:paraId="1512CBD7" w14:textId="093548E9" w:rsidR="001E40FA" w:rsidRPr="00391DBE" w:rsidRDefault="00F76B78" w:rsidP="004F5261">
      <w:pPr>
        <w:pStyle w:val="Virsraksts2"/>
        <w:rPr>
          <w:rFonts w:ascii="Times New Roman" w:hAnsi="Times New Roman" w:cs="Times New Roman"/>
          <w:lang w:val="lv-LV"/>
        </w:rPr>
      </w:pPr>
      <w:bookmarkStart w:id="29" w:name="_Toc210136829"/>
      <w:bookmarkStart w:id="30" w:name="_Toc214625084"/>
      <w:r>
        <w:rPr>
          <w:rFonts w:ascii="Times New Roman" w:hAnsi="Times New Roman" w:cs="Times New Roman"/>
          <w:lang w:val="lv-LV"/>
        </w:rPr>
        <w:t>Antibiotiku izraisītas caurejas d</w:t>
      </w:r>
      <w:r w:rsidR="005A67D0" w:rsidRPr="00391DBE">
        <w:rPr>
          <w:rFonts w:ascii="Times New Roman" w:hAnsi="Times New Roman" w:cs="Times New Roman"/>
          <w:lang w:val="lv-LV"/>
        </w:rPr>
        <w:t>iagnoze</w:t>
      </w:r>
      <w:bookmarkEnd w:id="28"/>
      <w:bookmarkEnd w:id="29"/>
      <w:bookmarkEnd w:id="30"/>
    </w:p>
    <w:p w14:paraId="2036FBC1" w14:textId="7E6D3F48" w:rsidR="005A67D0" w:rsidRPr="004F5261" w:rsidRDefault="00907D3F" w:rsidP="004837A1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lv-LV"/>
        </w:rPr>
        <w:t>AIC diagnostika ambulatorajā etapā ir balstīta uz klīniskām pazīmēm.</w:t>
      </w:r>
    </w:p>
    <w:p w14:paraId="454847B6" w14:textId="78C812EC" w:rsidR="00797A53" w:rsidRPr="004F5261" w:rsidRDefault="00797A53" w:rsidP="00797A53">
      <w:pPr>
        <w:pStyle w:val="Paraststmeklis"/>
        <w:rPr>
          <w:lang w:val="lv-LV"/>
        </w:rPr>
      </w:pPr>
      <w:r w:rsidRPr="004F5261">
        <w:rPr>
          <w:lang w:val="lv-LV"/>
        </w:rPr>
        <w:t xml:space="preserve">  </w:t>
      </w:r>
      <w:r w:rsidRPr="004F5261">
        <w:rPr>
          <w:rStyle w:val="Izteiksmgs"/>
          <w:rFonts w:eastAsiaTheme="majorEastAsia"/>
          <w:lang w:val="lv-LV"/>
        </w:rPr>
        <w:t>AIC ir klīniska diagnoze.</w:t>
      </w:r>
      <w:r w:rsidRPr="004F5261">
        <w:rPr>
          <w:rStyle w:val="apple-converted-space"/>
          <w:rFonts w:eastAsiaTheme="majorEastAsia"/>
          <w:lang w:val="lv-LV"/>
        </w:rPr>
        <w:t> </w:t>
      </w:r>
      <w:r w:rsidRPr="004F5261">
        <w:rPr>
          <w:lang w:val="lv-LV"/>
        </w:rPr>
        <w:t>Tā jāapsver bērniem ar caureju, kas sākusies antibiotiku lietošanas laikā vai līdz 6–8 nedēļām pēc kursa pabeigšanas</w:t>
      </w:r>
      <w:r w:rsidR="00DC7B06">
        <w:rPr>
          <w:lang w:val="lv-LV"/>
        </w:rPr>
        <w:t xml:space="preserve"> [</w:t>
      </w:r>
      <w:proofErr w:type="spellStart"/>
      <w:r w:rsidR="00A25870">
        <w:rPr>
          <w:color w:val="1B1B1B"/>
          <w:shd w:val="clear" w:color="auto" w:fill="FFFFFF"/>
          <w:lang w:val="lv-LV"/>
        </w:rPr>
        <w:t>McFarland</w:t>
      </w:r>
      <w:proofErr w:type="spellEnd"/>
      <w:r w:rsidR="00A25870">
        <w:rPr>
          <w:color w:val="1B1B1B"/>
          <w:shd w:val="clear" w:color="auto" w:fill="FFFFFF"/>
          <w:lang w:val="lv-LV"/>
        </w:rPr>
        <w:t xml:space="preserve"> </w:t>
      </w:r>
      <w:proofErr w:type="spellStart"/>
      <w:r w:rsidR="00A25870">
        <w:rPr>
          <w:color w:val="1B1B1B"/>
          <w:shd w:val="clear" w:color="auto" w:fill="FFFFFF"/>
          <w:lang w:val="lv-LV"/>
        </w:rPr>
        <w:t>et</w:t>
      </w:r>
      <w:proofErr w:type="spellEnd"/>
      <w:r w:rsidR="00A25870">
        <w:rPr>
          <w:color w:val="1B1B1B"/>
          <w:shd w:val="clear" w:color="auto" w:fill="FFFFFF"/>
          <w:lang w:val="lv-LV"/>
        </w:rPr>
        <w:t xml:space="preserve"> </w:t>
      </w:r>
      <w:proofErr w:type="spellStart"/>
      <w:r w:rsidR="00A25870">
        <w:rPr>
          <w:color w:val="1B1B1B"/>
          <w:shd w:val="clear" w:color="auto" w:fill="FFFFFF"/>
          <w:lang w:val="lv-LV"/>
        </w:rPr>
        <w:t>al</w:t>
      </w:r>
      <w:proofErr w:type="spellEnd"/>
      <w:r w:rsidR="00A25870">
        <w:rPr>
          <w:color w:val="1B1B1B"/>
          <w:shd w:val="clear" w:color="auto" w:fill="FFFFFF"/>
          <w:lang w:val="lv-LV"/>
        </w:rPr>
        <w:t>, 2008</w:t>
      </w:r>
      <w:r w:rsidR="00DC7B06">
        <w:rPr>
          <w:lang w:val="lv-LV"/>
        </w:rPr>
        <w:t>].</w:t>
      </w:r>
    </w:p>
    <w:p w14:paraId="00F3FD65" w14:textId="60C0AFB2" w:rsidR="00797A53" w:rsidRPr="004F5261" w:rsidRDefault="00797A53" w:rsidP="00797A53">
      <w:pPr>
        <w:pStyle w:val="Paraststmeklis"/>
        <w:rPr>
          <w:lang w:val="lv-LV"/>
        </w:rPr>
      </w:pPr>
      <w:r w:rsidRPr="004F5261">
        <w:rPr>
          <w:lang w:val="lv-LV"/>
        </w:rPr>
        <w:t>  Ja nav identificēts cits caurejas iemesls, diagnoze balstās uz</w:t>
      </w:r>
      <w:r w:rsidRPr="004F5261">
        <w:rPr>
          <w:rStyle w:val="apple-converted-space"/>
          <w:rFonts w:eastAsiaTheme="majorEastAsia"/>
          <w:lang w:val="lv-LV"/>
        </w:rPr>
        <w:t> </w:t>
      </w:r>
      <w:r w:rsidRPr="004F5261">
        <w:rPr>
          <w:rStyle w:val="Izteiksmgs"/>
          <w:rFonts w:eastAsiaTheme="majorEastAsia"/>
          <w:lang w:val="lv-LV"/>
        </w:rPr>
        <w:t>antibiotiku lietošanas faktu</w:t>
      </w:r>
      <w:r w:rsidRPr="004F5261">
        <w:rPr>
          <w:rStyle w:val="apple-converted-space"/>
          <w:rFonts w:eastAsiaTheme="majorEastAsia"/>
          <w:lang w:val="lv-LV"/>
        </w:rPr>
        <w:t> </w:t>
      </w:r>
      <w:r w:rsidRPr="004F5261">
        <w:rPr>
          <w:lang w:val="lv-LV"/>
        </w:rPr>
        <w:t>un</w:t>
      </w:r>
      <w:r w:rsidRPr="004F5261">
        <w:rPr>
          <w:rStyle w:val="apple-converted-space"/>
          <w:rFonts w:eastAsiaTheme="majorEastAsia"/>
          <w:lang w:val="lv-LV"/>
        </w:rPr>
        <w:t> </w:t>
      </w:r>
      <w:r w:rsidRPr="004F5261">
        <w:rPr>
          <w:rStyle w:val="Izteiksmgs"/>
          <w:rFonts w:eastAsiaTheme="majorEastAsia"/>
          <w:lang w:val="lv-LV"/>
        </w:rPr>
        <w:t>citu cēloņu izslēgšanu</w:t>
      </w:r>
      <w:r w:rsidR="000E16F2">
        <w:rPr>
          <w:rStyle w:val="Izteiksmgs"/>
          <w:rFonts w:eastAsiaTheme="majorEastAsia"/>
          <w:lang w:val="lv-LV"/>
        </w:rPr>
        <w:t xml:space="preserve"> </w:t>
      </w:r>
      <w:r w:rsidRPr="004F5261">
        <w:rPr>
          <w:lang w:val="lv-LV"/>
        </w:rPr>
        <w:t>(piem., vīrusu gastroenterīts, uztura izmaiņas).</w:t>
      </w:r>
    </w:p>
    <w:p w14:paraId="2B4CAADD" w14:textId="2870813C" w:rsidR="00797A53" w:rsidRPr="004F5261" w:rsidRDefault="00797A53" w:rsidP="00797A53">
      <w:pPr>
        <w:pStyle w:val="Paraststmeklis"/>
        <w:rPr>
          <w:lang w:val="lv-LV"/>
        </w:rPr>
      </w:pPr>
      <w:r w:rsidRPr="004F5261">
        <w:rPr>
          <w:lang w:val="lv-LV"/>
        </w:rPr>
        <w:t xml:space="preserve">  </w:t>
      </w:r>
      <w:r w:rsidRPr="004F5261">
        <w:rPr>
          <w:rStyle w:val="Izteiksmgs"/>
          <w:rFonts w:eastAsiaTheme="majorEastAsia"/>
          <w:lang w:val="lv-LV"/>
        </w:rPr>
        <w:t>Nesenas hospitalizācijas vai smagas slimības gadījumā</w:t>
      </w:r>
      <w:r w:rsidRPr="004F5261">
        <w:rPr>
          <w:rStyle w:val="apple-converted-space"/>
          <w:rFonts w:eastAsiaTheme="majorEastAsia"/>
          <w:lang w:val="lv-LV"/>
        </w:rPr>
        <w:t> </w:t>
      </w:r>
      <w:r w:rsidRPr="004F5261">
        <w:rPr>
          <w:lang w:val="lv-LV"/>
        </w:rPr>
        <w:t>jāizslēdz</w:t>
      </w:r>
      <w:r w:rsidRPr="004F5261">
        <w:rPr>
          <w:rStyle w:val="apple-converted-space"/>
          <w:rFonts w:eastAsiaTheme="majorEastAsia"/>
          <w:lang w:val="lv-LV"/>
        </w:rPr>
        <w:t> </w:t>
      </w:r>
      <w:proofErr w:type="spellStart"/>
      <w:r w:rsidRPr="004F5261">
        <w:rPr>
          <w:rStyle w:val="Izclums"/>
          <w:rFonts w:eastAsiaTheme="majorEastAsia"/>
          <w:lang w:val="lv-LV"/>
        </w:rPr>
        <w:t>Cl</w:t>
      </w:r>
      <w:r w:rsidR="00B3735B">
        <w:rPr>
          <w:rStyle w:val="Izclums"/>
          <w:rFonts w:eastAsiaTheme="majorEastAsia"/>
          <w:lang w:val="lv-LV"/>
        </w:rPr>
        <w:t>.</w:t>
      </w:r>
      <w:r w:rsidRPr="004F5261">
        <w:rPr>
          <w:rStyle w:val="Izclums"/>
          <w:rFonts w:eastAsiaTheme="majorEastAsia"/>
          <w:lang w:val="lv-LV"/>
        </w:rPr>
        <w:t>difficile</w:t>
      </w:r>
      <w:proofErr w:type="spellEnd"/>
      <w:r w:rsidRPr="004F5261">
        <w:rPr>
          <w:rStyle w:val="apple-converted-space"/>
          <w:rFonts w:eastAsiaTheme="majorEastAsia"/>
          <w:lang w:val="lv-LV"/>
        </w:rPr>
        <w:t> </w:t>
      </w:r>
      <w:r w:rsidRPr="004F5261">
        <w:rPr>
          <w:lang w:val="lv-LV"/>
        </w:rPr>
        <w:t xml:space="preserve">infekcija (CDI), kas ir biežākais smagas AIC cēlonis bērniem </w:t>
      </w:r>
      <w:r w:rsidR="00DC7B06">
        <w:rPr>
          <w:lang w:val="lv-LV"/>
        </w:rPr>
        <w:t>[</w:t>
      </w:r>
      <w:proofErr w:type="spellStart"/>
      <w:r w:rsidR="00A25870">
        <w:rPr>
          <w:lang w:val="lv-LV"/>
        </w:rPr>
        <w:t>Shirley</w:t>
      </w:r>
      <w:proofErr w:type="spellEnd"/>
      <w:r w:rsidR="00A25870">
        <w:rPr>
          <w:lang w:val="lv-LV"/>
        </w:rPr>
        <w:t xml:space="preserve"> </w:t>
      </w:r>
      <w:proofErr w:type="spellStart"/>
      <w:r w:rsidR="00A25870">
        <w:rPr>
          <w:lang w:val="lv-LV"/>
        </w:rPr>
        <w:t>et</w:t>
      </w:r>
      <w:proofErr w:type="spellEnd"/>
      <w:r w:rsidR="00A25870">
        <w:rPr>
          <w:lang w:val="lv-LV"/>
        </w:rPr>
        <w:t xml:space="preserve"> </w:t>
      </w:r>
      <w:proofErr w:type="spellStart"/>
      <w:r w:rsidR="00A25870">
        <w:rPr>
          <w:lang w:val="lv-LV"/>
        </w:rPr>
        <w:t>al</w:t>
      </w:r>
      <w:proofErr w:type="spellEnd"/>
      <w:r w:rsidR="00A25870">
        <w:rPr>
          <w:lang w:val="lv-LV"/>
        </w:rPr>
        <w:t>, 2023</w:t>
      </w:r>
      <w:r w:rsidR="00DC7B06">
        <w:rPr>
          <w:lang w:val="lv-LV"/>
        </w:rPr>
        <w:t>].</w:t>
      </w:r>
    </w:p>
    <w:p w14:paraId="3743A958" w14:textId="455EE537" w:rsidR="00797A53" w:rsidRPr="004F5261" w:rsidRDefault="00907D3F" w:rsidP="00797A53">
      <w:pPr>
        <w:pStyle w:val="Paraststmeklis"/>
        <w:rPr>
          <w:lang w:val="lv-LV"/>
        </w:rPr>
      </w:pPr>
      <w:r>
        <w:rPr>
          <w:lang w:val="lv-LV"/>
        </w:rPr>
        <w:t xml:space="preserve">Lai gan </w:t>
      </w:r>
      <w:r w:rsidR="00797A53" w:rsidRPr="004F5261">
        <w:rPr>
          <w:lang w:val="lv-LV"/>
        </w:rPr>
        <w:t>CDI apstiprināšanai</w:t>
      </w:r>
      <w:r>
        <w:rPr>
          <w:lang w:val="lv-LV"/>
        </w:rPr>
        <w:t xml:space="preserve"> var</w:t>
      </w:r>
      <w:r w:rsidR="00797A53" w:rsidRPr="004F5261">
        <w:rPr>
          <w:lang w:val="lv-LV"/>
        </w:rPr>
        <w:t xml:space="preserve"> izmanto</w:t>
      </w:r>
      <w:r>
        <w:rPr>
          <w:lang w:val="lv-LV"/>
        </w:rPr>
        <w:t>t</w:t>
      </w:r>
      <w:r w:rsidR="00797A53" w:rsidRPr="004F5261">
        <w:rPr>
          <w:lang w:val="lv-LV"/>
        </w:rPr>
        <w:t xml:space="preserve"> </w:t>
      </w:r>
      <w:r w:rsidR="004F28BC" w:rsidRPr="004F5261">
        <w:rPr>
          <w:b/>
          <w:bCs/>
          <w:lang w:val="lv-LV"/>
        </w:rPr>
        <w:t xml:space="preserve">kombinētu testēšanas pieeju </w:t>
      </w:r>
      <w:r w:rsidR="00797A53" w:rsidRPr="004F5261">
        <w:rPr>
          <w:lang w:val="lv-LV"/>
        </w:rPr>
        <w:t>laboratorisko algoritmu (GDH antigēns + toksīna tests ar NAAT apstiprinājumu),</w:t>
      </w:r>
      <w:r w:rsidR="00797A53" w:rsidRPr="004F5261">
        <w:rPr>
          <w:rStyle w:val="apple-converted-space"/>
          <w:rFonts w:eastAsiaTheme="majorEastAsia"/>
          <w:lang w:val="lv-LV"/>
        </w:rPr>
        <w:t> </w:t>
      </w:r>
      <w:r w:rsidR="00797A53" w:rsidRPr="004F5261">
        <w:rPr>
          <w:rStyle w:val="Izteiksmgs"/>
          <w:rFonts w:eastAsiaTheme="majorEastAsia"/>
          <w:lang w:val="lv-LV"/>
        </w:rPr>
        <w:t>bērniem &lt;12 mēnešu vecumā rutīnas testēšana nav rekomendēta</w:t>
      </w:r>
      <w:r w:rsidR="00797A53" w:rsidRPr="004F5261">
        <w:rPr>
          <w:rStyle w:val="apple-converted-space"/>
          <w:rFonts w:eastAsiaTheme="majorEastAsia"/>
          <w:lang w:val="lv-LV"/>
        </w:rPr>
        <w:t> </w:t>
      </w:r>
      <w:r>
        <w:rPr>
          <w:lang w:val="lv-LV"/>
        </w:rPr>
        <w:t>[</w:t>
      </w:r>
      <w:proofErr w:type="spellStart"/>
      <w:r w:rsidR="00A25870">
        <w:rPr>
          <w:lang w:val="lv-LV"/>
        </w:rPr>
        <w:t>Shirley</w:t>
      </w:r>
      <w:proofErr w:type="spellEnd"/>
      <w:r w:rsidR="00A25870">
        <w:rPr>
          <w:lang w:val="lv-LV"/>
        </w:rPr>
        <w:t xml:space="preserve"> </w:t>
      </w:r>
      <w:proofErr w:type="spellStart"/>
      <w:r w:rsidR="00A25870">
        <w:rPr>
          <w:lang w:val="lv-LV"/>
        </w:rPr>
        <w:t>et</w:t>
      </w:r>
      <w:proofErr w:type="spellEnd"/>
      <w:r w:rsidR="00A25870">
        <w:rPr>
          <w:lang w:val="lv-LV"/>
        </w:rPr>
        <w:t xml:space="preserve"> </w:t>
      </w:r>
      <w:proofErr w:type="spellStart"/>
      <w:r w:rsidR="00A25870">
        <w:rPr>
          <w:lang w:val="lv-LV"/>
        </w:rPr>
        <w:t>al</w:t>
      </w:r>
      <w:proofErr w:type="spellEnd"/>
      <w:r w:rsidR="00A25870">
        <w:rPr>
          <w:lang w:val="lv-LV"/>
        </w:rPr>
        <w:t>, 2023</w:t>
      </w:r>
      <w:r>
        <w:rPr>
          <w:lang w:val="lv-LV"/>
        </w:rPr>
        <w:t>]</w:t>
      </w:r>
      <w:r w:rsidR="004F28BC" w:rsidRPr="004F5261">
        <w:rPr>
          <w:rStyle w:val="apple-converted-space"/>
          <w:rFonts w:eastAsiaTheme="majorEastAsia"/>
          <w:lang w:val="lv-LV"/>
        </w:rPr>
        <w:t xml:space="preserve">. </w:t>
      </w:r>
      <w:r w:rsidR="00B1006B">
        <w:rPr>
          <w:rStyle w:val="apple-converted-space"/>
          <w:rFonts w:eastAsiaTheme="majorEastAsia"/>
          <w:lang w:val="lv-LV"/>
        </w:rPr>
        <w:t>Tomēr jāuzsver, ka precīzi ieteikumi CDI diagnostikai un ārstēšanai nav šo rekomendāciju mērķis.</w:t>
      </w:r>
    </w:p>
    <w:p w14:paraId="0A3DC33D" w14:textId="41632D35" w:rsidR="006A60B0" w:rsidRPr="004F5261" w:rsidRDefault="00854CD3" w:rsidP="00F14EF3">
      <w:pPr>
        <w:pStyle w:val="Virsraksts2"/>
        <w:rPr>
          <w:rFonts w:ascii="Times New Roman" w:hAnsi="Times New Roman" w:cs="Times New Roman"/>
          <w:shd w:val="clear" w:color="auto" w:fill="FFFFFF"/>
          <w:lang w:val="lv-LV"/>
        </w:rPr>
      </w:pPr>
      <w:bookmarkStart w:id="31" w:name="_Toc206573739"/>
      <w:bookmarkStart w:id="32" w:name="_Toc210136831"/>
      <w:bookmarkStart w:id="33" w:name="_Toc214625085"/>
      <w:r w:rsidRPr="004F5261">
        <w:rPr>
          <w:rFonts w:ascii="Times New Roman" w:hAnsi="Times New Roman" w:cs="Times New Roman"/>
          <w:shd w:val="clear" w:color="auto" w:fill="FFFFFF"/>
          <w:lang w:val="lv-LV"/>
        </w:rPr>
        <w:t>Vadlīnijas un ieteikumi</w:t>
      </w:r>
      <w:r w:rsidR="0006340B" w:rsidRPr="004F5261">
        <w:rPr>
          <w:rFonts w:ascii="Times New Roman" w:hAnsi="Times New Roman" w:cs="Times New Roman"/>
          <w:shd w:val="clear" w:color="auto" w:fill="FFFFFF"/>
          <w:lang w:val="lv-LV"/>
        </w:rPr>
        <w:t xml:space="preserve"> </w:t>
      </w:r>
      <w:r w:rsidR="00F1743B">
        <w:rPr>
          <w:rFonts w:ascii="Times New Roman" w:hAnsi="Times New Roman" w:cs="Times New Roman"/>
          <w:shd w:val="clear" w:color="auto" w:fill="FFFFFF"/>
          <w:lang w:val="lv-LV"/>
        </w:rPr>
        <w:t>antibiotiku izraisītas caurejas</w:t>
      </w:r>
      <w:r w:rsidR="0006340B" w:rsidRPr="004F5261">
        <w:rPr>
          <w:rFonts w:ascii="Times New Roman" w:hAnsi="Times New Roman" w:cs="Times New Roman"/>
          <w:shd w:val="clear" w:color="auto" w:fill="FFFFFF"/>
          <w:lang w:val="lv-LV"/>
        </w:rPr>
        <w:t xml:space="preserve"> gadījumā</w:t>
      </w:r>
      <w:bookmarkEnd w:id="31"/>
      <w:bookmarkEnd w:id="32"/>
      <w:bookmarkEnd w:id="33"/>
    </w:p>
    <w:p w14:paraId="7A66656C" w14:textId="099F3DBD" w:rsidR="00F64558" w:rsidRDefault="00F64558" w:rsidP="00F14EF3">
      <w:pPr>
        <w:rPr>
          <w:rFonts w:ascii="Times New Roman" w:hAnsi="Times New Roman" w:cs="Times New Roman"/>
          <w:shd w:val="clear" w:color="auto" w:fill="FFFFFF"/>
          <w:lang w:val="lv-LV"/>
        </w:rPr>
      </w:pPr>
      <w:r>
        <w:rPr>
          <w:rFonts w:ascii="Times New Roman" w:hAnsi="Times New Roman" w:cs="Times New Roman"/>
          <w:shd w:val="clear" w:color="auto" w:fill="FFFFFF"/>
          <w:lang w:val="lv-LV"/>
        </w:rPr>
        <w:t xml:space="preserve">Pamatojoties uz Eiropas Pediatru </w:t>
      </w:r>
      <w:proofErr w:type="spellStart"/>
      <w:r>
        <w:rPr>
          <w:rFonts w:ascii="Times New Roman" w:hAnsi="Times New Roman" w:cs="Times New Roman"/>
          <w:shd w:val="clear" w:color="auto" w:fill="FFFFFF"/>
          <w:lang w:val="lv-LV"/>
        </w:rPr>
        <w:t>Gastroenterologu</w:t>
      </w:r>
      <w:proofErr w:type="spellEnd"/>
      <w:r>
        <w:rPr>
          <w:rFonts w:ascii="Times New Roman" w:hAnsi="Times New Roman" w:cs="Times New Roman"/>
          <w:shd w:val="clear" w:color="auto" w:fill="FFFFFF"/>
          <w:lang w:val="lv-LV"/>
        </w:rPr>
        <w:t xml:space="preserve">, </w:t>
      </w:r>
      <w:proofErr w:type="spellStart"/>
      <w:r>
        <w:rPr>
          <w:rFonts w:ascii="Times New Roman" w:hAnsi="Times New Roman" w:cs="Times New Roman"/>
          <w:shd w:val="clear" w:color="auto" w:fill="FFFFFF"/>
          <w:lang w:val="lv-LV"/>
        </w:rPr>
        <w:t>Hepatologu</w:t>
      </w:r>
      <w:proofErr w:type="spellEnd"/>
      <w:r>
        <w:rPr>
          <w:rFonts w:ascii="Times New Roman" w:hAnsi="Times New Roman" w:cs="Times New Roman"/>
          <w:shd w:val="clear" w:color="auto" w:fill="FFFFFF"/>
          <w:lang w:val="lv-LV"/>
        </w:rPr>
        <w:t xml:space="preserve"> un uztura speciālistu (</w:t>
      </w:r>
      <w:proofErr w:type="spellStart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>European</w:t>
      </w:r>
      <w:proofErr w:type="spellEnd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 xml:space="preserve"> </w:t>
      </w:r>
      <w:proofErr w:type="spellStart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>Society</w:t>
      </w:r>
      <w:proofErr w:type="spellEnd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 xml:space="preserve"> </w:t>
      </w:r>
      <w:proofErr w:type="spellStart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>for</w:t>
      </w:r>
      <w:proofErr w:type="spellEnd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 xml:space="preserve"> </w:t>
      </w:r>
      <w:proofErr w:type="spellStart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>Pediatri</w:t>
      </w:r>
      <w:r>
        <w:rPr>
          <w:rFonts w:ascii="Times New Roman" w:hAnsi="Times New Roman" w:cs="Times New Roman"/>
          <w:i/>
          <w:iCs/>
          <w:shd w:val="clear" w:color="auto" w:fill="FFFFFF"/>
          <w:lang w:val="lv-LV"/>
        </w:rPr>
        <w:t>c</w:t>
      </w:r>
      <w:proofErr w:type="spellEnd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 xml:space="preserve"> </w:t>
      </w:r>
      <w:proofErr w:type="spellStart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>Gastroenterology</w:t>
      </w:r>
      <w:proofErr w:type="spellEnd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 xml:space="preserve">, </w:t>
      </w:r>
      <w:proofErr w:type="spellStart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>Hepatology</w:t>
      </w:r>
      <w:proofErr w:type="spellEnd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 xml:space="preserve"> </w:t>
      </w:r>
      <w:proofErr w:type="spellStart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>and</w:t>
      </w:r>
      <w:proofErr w:type="spellEnd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 xml:space="preserve"> </w:t>
      </w:r>
      <w:proofErr w:type="spellStart"/>
      <w:r w:rsidRPr="00F64558">
        <w:rPr>
          <w:rFonts w:ascii="Times New Roman" w:hAnsi="Times New Roman" w:cs="Times New Roman"/>
          <w:i/>
          <w:iCs/>
          <w:shd w:val="clear" w:color="auto" w:fill="FFFFFF"/>
          <w:lang w:val="lv-LV"/>
        </w:rPr>
        <w:t>Nutrition</w:t>
      </w:r>
      <w:proofErr w:type="spellEnd"/>
      <w:r>
        <w:rPr>
          <w:rFonts w:ascii="Times New Roman" w:hAnsi="Times New Roman" w:cs="Times New Roman"/>
          <w:shd w:val="clear" w:color="auto" w:fill="FFFFFF"/>
          <w:lang w:val="lv-LV"/>
        </w:rPr>
        <w:t xml:space="preserve"> (</w:t>
      </w:r>
      <w:r w:rsidRPr="00A53AC6">
        <w:rPr>
          <w:rFonts w:ascii="Times New Roman" w:hAnsi="Times New Roman" w:cs="Times New Roman"/>
          <w:shd w:val="clear" w:color="auto" w:fill="FFFFFF"/>
          <w:lang w:val="lv-LV"/>
        </w:rPr>
        <w:t>ESPGHAN</w:t>
      </w:r>
      <w:r>
        <w:rPr>
          <w:rFonts w:ascii="Times New Roman" w:hAnsi="Times New Roman" w:cs="Times New Roman"/>
          <w:shd w:val="clear" w:color="auto" w:fill="FFFFFF"/>
          <w:lang w:val="lv-LV"/>
        </w:rPr>
        <w:t>))</w:t>
      </w:r>
      <w:r w:rsidRPr="00A53AC6">
        <w:rPr>
          <w:rFonts w:ascii="Times New Roman" w:hAnsi="Times New Roman" w:cs="Times New Roman"/>
          <w:shd w:val="clear" w:color="auto" w:fill="FFFFFF"/>
          <w:lang w:val="lv-LV"/>
        </w:rPr>
        <w:t xml:space="preserve"> darba grupa</w:t>
      </w:r>
      <w:r>
        <w:rPr>
          <w:rFonts w:ascii="Times New Roman" w:hAnsi="Times New Roman" w:cs="Times New Roman"/>
          <w:shd w:val="clear" w:color="auto" w:fill="FFFFFF"/>
          <w:lang w:val="lv-LV"/>
        </w:rPr>
        <w:t xml:space="preserve"> ieteikumiem </w:t>
      </w:r>
      <w:r w:rsidRPr="00A53AC6">
        <w:rPr>
          <w:rFonts w:ascii="Times New Roman" w:hAnsi="Times New Roman" w:cs="Times New Roman"/>
          <w:shd w:val="clear" w:color="auto" w:fill="FFFFFF"/>
          <w:lang w:val="lv-LV"/>
        </w:rPr>
        <w:t xml:space="preserve">AIC </w:t>
      </w:r>
      <w:r w:rsidRPr="00A53AC6">
        <w:rPr>
          <w:rFonts w:ascii="Times New Roman" w:hAnsi="Times New Roman" w:cs="Times New Roman"/>
          <w:shd w:val="clear" w:color="auto" w:fill="FFFFFF"/>
          <w:lang w:val="lv-LV"/>
        </w:rPr>
        <w:lastRenderedPageBreak/>
        <w:t xml:space="preserve">profilaksei </w:t>
      </w:r>
      <w:r>
        <w:rPr>
          <w:rFonts w:ascii="Times New Roman" w:hAnsi="Times New Roman" w:cs="Times New Roman"/>
          <w:shd w:val="clear" w:color="auto" w:fill="FFFFFF"/>
          <w:lang w:val="lv-LV"/>
        </w:rPr>
        <w:t>jāievēro ieteikumu</w:t>
      </w:r>
      <w:r w:rsidR="00044241">
        <w:rPr>
          <w:rFonts w:ascii="Times New Roman" w:hAnsi="Times New Roman" w:cs="Times New Roman"/>
          <w:shd w:val="clear" w:color="auto" w:fill="FFFFFF"/>
          <w:lang w:val="lv-LV"/>
        </w:rPr>
        <w:t xml:space="preserve"> gan par pareiz</w:t>
      </w:r>
      <w:r w:rsidR="00C20FFA">
        <w:rPr>
          <w:rFonts w:ascii="Times New Roman" w:hAnsi="Times New Roman" w:cs="Times New Roman"/>
          <w:shd w:val="clear" w:color="auto" w:fill="FFFFFF"/>
          <w:lang w:val="lv-LV"/>
        </w:rPr>
        <w:t>u</w:t>
      </w:r>
      <w:r w:rsidR="00044241">
        <w:rPr>
          <w:rFonts w:ascii="Times New Roman" w:hAnsi="Times New Roman" w:cs="Times New Roman"/>
          <w:shd w:val="clear" w:color="auto" w:fill="FFFFFF"/>
          <w:lang w:val="lv-LV"/>
        </w:rPr>
        <w:t xml:space="preserve"> AB terapijas izvēli, gan par </w:t>
      </w:r>
      <w:proofErr w:type="spellStart"/>
      <w:r w:rsidR="00044241">
        <w:rPr>
          <w:rFonts w:ascii="Times New Roman" w:hAnsi="Times New Roman" w:cs="Times New Roman"/>
          <w:shd w:val="clear" w:color="auto" w:fill="FFFFFF"/>
          <w:lang w:val="lv-LV"/>
        </w:rPr>
        <w:t>probiotiku</w:t>
      </w:r>
      <w:proofErr w:type="spellEnd"/>
      <w:r w:rsidR="00044241">
        <w:rPr>
          <w:rFonts w:ascii="Times New Roman" w:hAnsi="Times New Roman" w:cs="Times New Roman"/>
          <w:shd w:val="clear" w:color="auto" w:fill="FFFFFF"/>
          <w:lang w:val="lv-LV"/>
        </w:rPr>
        <w:t xml:space="preserve"> lietošanu</w:t>
      </w:r>
      <w:r w:rsidR="00F76B78">
        <w:rPr>
          <w:rFonts w:ascii="Times New Roman" w:hAnsi="Times New Roman" w:cs="Times New Roman"/>
          <w:shd w:val="clear" w:color="auto" w:fill="FFFFFF"/>
          <w:lang w:val="lv-LV"/>
        </w:rPr>
        <w:t xml:space="preserve"> riska grupās</w:t>
      </w:r>
      <w:r w:rsidR="00DC7B06">
        <w:rPr>
          <w:rFonts w:ascii="Times New Roman" w:hAnsi="Times New Roman" w:cs="Times New Roman"/>
          <w:shd w:val="clear" w:color="auto" w:fill="FFFFFF"/>
          <w:lang w:val="lv-LV"/>
        </w:rPr>
        <w:t xml:space="preserve"> [</w:t>
      </w:r>
      <w:proofErr w:type="spellStart"/>
      <w:r w:rsidR="00A25870" w:rsidRPr="003B65F2">
        <w:rPr>
          <w:rFonts w:ascii="Times New Roman" w:hAnsi="Times New Roman" w:cs="Times New Roman"/>
          <w:color w:val="212121"/>
          <w:shd w:val="clear" w:color="auto" w:fill="FFFFFF"/>
        </w:rPr>
        <w:t>Szajewska</w:t>
      </w:r>
      <w:proofErr w:type="spellEnd"/>
      <w:r w:rsidR="00A25870">
        <w:rPr>
          <w:rFonts w:ascii="Times New Roman" w:hAnsi="Times New Roman" w:cs="Times New Roman"/>
          <w:color w:val="212121"/>
          <w:shd w:val="clear" w:color="auto" w:fill="FFFFFF"/>
        </w:rPr>
        <w:t xml:space="preserve"> et al, 2016; </w:t>
      </w:r>
      <w:proofErr w:type="spellStart"/>
      <w:r w:rsidR="00A25870" w:rsidRPr="003B65F2">
        <w:rPr>
          <w:rFonts w:ascii="Times New Roman" w:hAnsi="Times New Roman" w:cs="Times New Roman"/>
          <w:color w:val="212121"/>
          <w:shd w:val="clear" w:color="auto" w:fill="FFFFFF"/>
        </w:rPr>
        <w:t>Szajewska</w:t>
      </w:r>
      <w:proofErr w:type="spellEnd"/>
      <w:r w:rsidR="00A25870">
        <w:rPr>
          <w:rFonts w:ascii="Times New Roman" w:hAnsi="Times New Roman" w:cs="Times New Roman"/>
          <w:color w:val="212121"/>
          <w:shd w:val="clear" w:color="auto" w:fill="FFFFFF"/>
        </w:rPr>
        <w:t xml:space="preserve"> et al, 2023</w:t>
      </w:r>
      <w:r w:rsidR="00DC7B06">
        <w:rPr>
          <w:rFonts w:ascii="Times New Roman" w:hAnsi="Times New Roman" w:cs="Times New Roman"/>
          <w:shd w:val="clear" w:color="auto" w:fill="FFFFFF"/>
          <w:lang w:val="lv-LV"/>
        </w:rPr>
        <w:t>].</w:t>
      </w:r>
    </w:p>
    <w:p w14:paraId="0DA01E8E" w14:textId="26F290BD" w:rsidR="00C20FFA" w:rsidRPr="00F14EF3" w:rsidRDefault="00C20FFA" w:rsidP="00C20FFA">
      <w:pPr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</w:pPr>
      <w:r w:rsidRPr="00C20FFA"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  <w:t xml:space="preserve"> </w:t>
      </w:r>
      <w:r w:rsidRPr="00F14EF3"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  <w:t>Ieteikumi AB terapijas izvēlei</w:t>
      </w:r>
      <w:r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  <w:t xml:space="preserve"> AIC profilaksei</w:t>
      </w:r>
    </w:p>
    <w:p w14:paraId="52C0E6C1" w14:textId="5D48DDD4" w:rsidR="00C20FFA" w:rsidRPr="00A53AC6" w:rsidRDefault="00C20FFA" w:rsidP="00C20FFA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lv-LV"/>
        </w:rPr>
        <w:t>I</w:t>
      </w:r>
      <w:r w:rsidRPr="00A53AC6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zvēlēties antibakteriālu terapiju atbilstoši indikācijām, </w:t>
      </w:r>
      <w:r>
        <w:rPr>
          <w:rFonts w:ascii="Times New Roman" w:hAnsi="Times New Roman" w:cs="Times New Roman"/>
          <w:color w:val="212121"/>
          <w:shd w:val="clear" w:color="auto" w:fill="FFFFFF"/>
          <w:lang w:val="lv-LV"/>
        </w:rPr>
        <w:t>kā arī jā</w:t>
      </w:r>
      <w:r w:rsidRPr="00A53AC6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izvair</w:t>
      </w:r>
      <w:r>
        <w:rPr>
          <w:rFonts w:ascii="Times New Roman" w:hAnsi="Times New Roman" w:cs="Times New Roman"/>
          <w:color w:val="212121"/>
          <w:shd w:val="clear" w:color="auto" w:fill="FFFFFF"/>
          <w:lang w:val="lv-LV"/>
        </w:rPr>
        <w:t>ās</w:t>
      </w:r>
      <w:r w:rsidRPr="00A53AC6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 no nepamatotas antibiotiku lietošanas.</w:t>
      </w:r>
    </w:p>
    <w:p w14:paraId="4D616AA8" w14:textId="72BB90A9" w:rsidR="00C20FFA" w:rsidRDefault="00C20FFA" w:rsidP="00C20FFA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A53AC6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Izmantot plaša spektra antibiotikas tikai nepieciešamības gadījumos. Nelietot plaša spektra a</w:t>
      </w:r>
      <w:r>
        <w:rPr>
          <w:rFonts w:ascii="Times New Roman" w:hAnsi="Times New Roman" w:cs="Times New Roman"/>
          <w:color w:val="212121"/>
          <w:shd w:val="clear" w:color="auto" w:fill="FFFFFF"/>
          <w:lang w:val="lv-LV"/>
        </w:rPr>
        <w:t>ntibiotikas</w:t>
      </w:r>
      <w:r w:rsidRPr="00A53AC6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 gadījumos, kad adekvāta ārstēšana panākama ar šaura spe</w:t>
      </w:r>
      <w:r>
        <w:rPr>
          <w:rFonts w:ascii="Times New Roman" w:hAnsi="Times New Roman" w:cs="Times New Roman"/>
          <w:color w:val="212121"/>
          <w:shd w:val="clear" w:color="auto" w:fill="FFFFFF"/>
          <w:lang w:val="lv-LV"/>
        </w:rPr>
        <w:t>k</w:t>
      </w:r>
      <w:r w:rsidRPr="00A53AC6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tra antibiotikām.</w:t>
      </w:r>
    </w:p>
    <w:p w14:paraId="2D458221" w14:textId="01FE8343" w:rsidR="00C20FFA" w:rsidRPr="00A53AC6" w:rsidRDefault="00C20FFA" w:rsidP="00C20FFA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>
        <w:rPr>
          <w:rFonts w:ascii="Times New Roman" w:hAnsi="Times New Roman" w:cs="Times New Roman"/>
          <w:b/>
          <w:bCs/>
          <w:noProof/>
          <w:color w:val="212121"/>
          <w:lang w:val="lv-LV" w:eastAsia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6904F4" wp14:editId="205F14F0">
                <wp:simplePos x="0" y="0"/>
                <wp:positionH relativeFrom="column">
                  <wp:posOffset>2516655</wp:posOffset>
                </wp:positionH>
                <wp:positionV relativeFrom="paragraph">
                  <wp:posOffset>229086</wp:posOffset>
                </wp:positionV>
                <wp:extent cx="0" cy="683173"/>
                <wp:effectExtent l="63500" t="0" r="63500" b="28575"/>
                <wp:wrapNone/>
                <wp:docPr id="212016356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3173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4714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98.15pt;margin-top:18.05pt;width:0;height:53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" strokecolor="#00b050" strokeweight="6pt">
                <v:stroke endarrow="block" joinstyle="miter"/>
              </v:shape>
            </w:pict>
          </mc:Fallback>
        </mc:AlternateContent>
      </w:r>
      <w:proofErr w:type="spellStart"/>
      <w:r w:rsidRPr="005C4959">
        <w:rPr>
          <w:rFonts w:ascii="Times New Roman" w:hAnsi="Times New Roman" w:cs="Times New Roman"/>
          <w:color w:val="212121"/>
          <w:shd w:val="clear" w:color="auto" w:fill="FFFFFF"/>
        </w:rPr>
        <w:t>Racionāla</w:t>
      </w:r>
      <w:proofErr w:type="spellEnd"/>
      <w:r w:rsidRPr="005C4959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5C4959">
        <w:rPr>
          <w:rFonts w:ascii="Times New Roman" w:hAnsi="Times New Roman" w:cs="Times New Roman"/>
          <w:color w:val="212121"/>
          <w:shd w:val="clear" w:color="auto" w:fill="FFFFFF"/>
        </w:rPr>
        <w:t>antibiotiku</w:t>
      </w:r>
      <w:proofErr w:type="spellEnd"/>
      <w:r w:rsidRPr="005C4959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5C4959">
        <w:rPr>
          <w:rFonts w:ascii="Times New Roman" w:hAnsi="Times New Roman" w:cs="Times New Roman"/>
          <w:color w:val="212121"/>
          <w:shd w:val="clear" w:color="auto" w:fill="FFFFFF"/>
        </w:rPr>
        <w:t>izvēle</w:t>
      </w:r>
      <w:proofErr w:type="spellEnd"/>
      <w:r w:rsidRPr="005C4959">
        <w:rPr>
          <w:rFonts w:ascii="Times New Roman" w:hAnsi="Times New Roman" w:cs="Times New Roman"/>
          <w:color w:val="212121"/>
          <w:shd w:val="clear" w:color="auto" w:fill="FFFFFF"/>
        </w:rPr>
        <w:t xml:space="preserve"> un </w:t>
      </w:r>
      <w:proofErr w:type="spellStart"/>
      <w:r w:rsidRPr="005C4959">
        <w:rPr>
          <w:rFonts w:ascii="Times New Roman" w:hAnsi="Times New Roman" w:cs="Times New Roman"/>
          <w:color w:val="212121"/>
          <w:shd w:val="clear" w:color="auto" w:fill="FFFFFF"/>
        </w:rPr>
        <w:t>kursa</w:t>
      </w:r>
      <w:proofErr w:type="spellEnd"/>
      <w:r w:rsidRPr="005C4959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5C4959">
        <w:rPr>
          <w:rFonts w:ascii="Times New Roman" w:hAnsi="Times New Roman" w:cs="Times New Roman"/>
          <w:color w:val="212121"/>
          <w:shd w:val="clear" w:color="auto" w:fill="FFFFFF"/>
        </w:rPr>
        <w:t>ilguma</w:t>
      </w:r>
      <w:proofErr w:type="spellEnd"/>
      <w:r w:rsidRPr="005C4959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5C4959">
        <w:rPr>
          <w:rFonts w:ascii="Times New Roman" w:hAnsi="Times New Roman" w:cs="Times New Roman"/>
          <w:color w:val="212121"/>
          <w:shd w:val="clear" w:color="auto" w:fill="FFFFFF"/>
        </w:rPr>
        <w:t>ierobežošana</w:t>
      </w:r>
      <w:proofErr w:type="spellEnd"/>
      <w:r w:rsidRPr="005C4959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5C4959">
        <w:rPr>
          <w:rFonts w:ascii="Times New Roman" w:hAnsi="Times New Roman" w:cs="Times New Roman"/>
          <w:color w:val="212121"/>
          <w:shd w:val="clear" w:color="auto" w:fill="FFFFFF"/>
        </w:rPr>
        <w:t>ir</w:t>
      </w:r>
      <w:proofErr w:type="spellEnd"/>
      <w:r w:rsidRPr="005C4959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5C4959">
        <w:rPr>
          <w:rFonts w:ascii="Times New Roman" w:hAnsi="Times New Roman" w:cs="Times New Roman"/>
          <w:color w:val="212121"/>
          <w:shd w:val="clear" w:color="auto" w:fill="FFFFFF"/>
        </w:rPr>
        <w:t>galvenās</w:t>
      </w:r>
      <w:proofErr w:type="spellEnd"/>
      <w:r w:rsidRPr="005C4959">
        <w:rPr>
          <w:rFonts w:ascii="Times New Roman" w:hAnsi="Times New Roman" w:cs="Times New Roman"/>
          <w:color w:val="212121"/>
          <w:shd w:val="clear" w:color="auto" w:fill="FFFFFF"/>
        </w:rPr>
        <w:t xml:space="preserve"> AIC </w:t>
      </w:r>
      <w:proofErr w:type="spellStart"/>
      <w:r w:rsidRPr="005C4959">
        <w:rPr>
          <w:rFonts w:ascii="Times New Roman" w:hAnsi="Times New Roman" w:cs="Times New Roman"/>
          <w:color w:val="212121"/>
          <w:shd w:val="clear" w:color="auto" w:fill="FFFFFF"/>
        </w:rPr>
        <w:t>profilakses</w:t>
      </w:r>
      <w:proofErr w:type="spellEnd"/>
      <w:r w:rsidRPr="005C4959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5C4959">
        <w:rPr>
          <w:rFonts w:ascii="Times New Roman" w:hAnsi="Times New Roman" w:cs="Times New Roman"/>
          <w:color w:val="212121"/>
          <w:shd w:val="clear" w:color="auto" w:fill="FFFFFF"/>
        </w:rPr>
        <w:t>metodes</w:t>
      </w:r>
      <w:proofErr w:type="spellEnd"/>
      <w:r w:rsidRPr="005C4959">
        <w:rPr>
          <w:rFonts w:ascii="Times New Roman" w:hAnsi="Times New Roman" w:cs="Times New Roman"/>
          <w:color w:val="212121"/>
          <w:shd w:val="clear" w:color="auto" w:fill="FFFFFF"/>
        </w:rPr>
        <w:t>.</w:t>
      </w:r>
    </w:p>
    <w:p w14:paraId="44040E14" w14:textId="4FD9739D" w:rsidR="00EA0DA3" w:rsidRDefault="00EA0DA3" w:rsidP="00F14EF3">
      <w:pPr>
        <w:rPr>
          <w:rFonts w:ascii="-webkit-standard" w:hAnsi="-webkit-standard"/>
          <w:color w:val="000000"/>
          <w:sz w:val="27"/>
          <w:szCs w:val="27"/>
          <w:lang w:val="lv-LV"/>
        </w:rPr>
      </w:pPr>
    </w:p>
    <w:p w14:paraId="666A84D5" w14:textId="08455E30" w:rsidR="00EA0DA3" w:rsidRDefault="00EA0DA3" w:rsidP="00F14EF3">
      <w:pPr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</w:pPr>
    </w:p>
    <w:p w14:paraId="2ADCF1CC" w14:textId="683B0537" w:rsidR="00EA0DA3" w:rsidRDefault="00B577A2" w:rsidP="00F14EF3">
      <w:pPr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</w:pPr>
      <w:r>
        <w:rPr>
          <w:rFonts w:ascii="-webkit-standard" w:hAnsi="-webkit-standard"/>
          <w:noProof/>
          <w:color w:val="000000"/>
          <w:sz w:val="27"/>
          <w:szCs w:val="27"/>
          <w:lang w:val="lv-LV" w:eastAsia="lv-LV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51494C" wp14:editId="6D998D5F">
                <wp:simplePos x="0" y="0"/>
                <wp:positionH relativeFrom="column">
                  <wp:posOffset>357505</wp:posOffset>
                </wp:positionH>
                <wp:positionV relativeFrom="paragraph">
                  <wp:posOffset>146685</wp:posOffset>
                </wp:positionV>
                <wp:extent cx="4898614" cy="1102621"/>
                <wp:effectExtent l="19050" t="19050" r="16510" b="21590"/>
                <wp:wrapNone/>
                <wp:docPr id="16488944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614" cy="1102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67C5BAE" w14:textId="6C3EA8B5" w:rsidR="00C20FFA" w:rsidRPr="00F14EF3" w:rsidRDefault="00C20FFA" w:rsidP="00C20FF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12121"/>
                                <w:shd w:val="clear" w:color="auto" w:fill="FFFFFF"/>
                                <w:lang w:val="lv-LV"/>
                              </w:rPr>
                            </w:pPr>
                            <w:r w:rsidRPr="00F14E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12121"/>
                                <w:shd w:val="clear" w:color="auto" w:fill="FFFFFF"/>
                                <w:lang w:val="lv-LV"/>
                              </w:rPr>
                              <w:t xml:space="preserve">Ieteikumi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12121"/>
                                <w:shd w:val="clear" w:color="auto" w:fill="FFFFFF"/>
                                <w:lang w:val="lv-LV"/>
                              </w:rPr>
                              <w:t xml:space="preserve">AB </w:t>
                            </w:r>
                            <w:r w:rsidRPr="00F14E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12121"/>
                                <w:shd w:val="clear" w:color="auto" w:fill="FFFFFF"/>
                                <w:lang w:val="lv-LV"/>
                              </w:rPr>
                              <w:t>terapijas izvēlei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12121"/>
                                <w:shd w:val="clear" w:color="auto" w:fill="FFFFFF"/>
                                <w:lang w:val="lv-LV"/>
                              </w:rPr>
                              <w:t xml:space="preserve"> AIC profilaksei</w:t>
                            </w:r>
                          </w:p>
                          <w:p w14:paraId="3BD5E7E5" w14:textId="1D7CAC77" w:rsidR="00C20FFA" w:rsidRPr="00A53AC6" w:rsidRDefault="00C20FFA" w:rsidP="00C20FFA">
                            <w:pPr>
                              <w:pStyle w:val="Sarakstarindkop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212121"/>
                                <w:shd w:val="clear" w:color="auto" w:fill="FFFFFF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12121"/>
                                <w:shd w:val="clear" w:color="auto" w:fill="FFFFFF"/>
                                <w:lang w:val="lv-LV"/>
                              </w:rPr>
                              <w:t>I</w:t>
                            </w:r>
                            <w:r w:rsidRPr="00A53AC6">
                              <w:rPr>
                                <w:rFonts w:ascii="Times New Roman" w:hAnsi="Times New Roman" w:cs="Times New Roman"/>
                                <w:color w:val="212121"/>
                                <w:shd w:val="clear" w:color="auto" w:fill="FFFFFF"/>
                                <w:lang w:val="lv-LV"/>
                              </w:rPr>
                              <w:t>zvairīties no nepamatotas antibiotiku lietošanas.</w:t>
                            </w:r>
                          </w:p>
                          <w:p w14:paraId="182E1330" w14:textId="1C07D3B8" w:rsidR="00C20FFA" w:rsidRDefault="00C20FFA" w:rsidP="00C20FFA">
                            <w:pPr>
                              <w:pStyle w:val="Sarakstarindkop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212121"/>
                                <w:shd w:val="clear" w:color="auto" w:fill="FFFFFF"/>
                                <w:lang w:val="lv-LV"/>
                              </w:rPr>
                            </w:pPr>
                            <w:r w:rsidRPr="00A53AC6">
                              <w:rPr>
                                <w:rFonts w:ascii="Times New Roman" w:hAnsi="Times New Roman" w:cs="Times New Roman"/>
                                <w:color w:val="212121"/>
                                <w:shd w:val="clear" w:color="auto" w:fill="FFFFFF"/>
                                <w:lang w:val="lv-LV"/>
                              </w:rPr>
                              <w:t>Izmantot plaša spektra antibiotikas tikai nepieciešamības gadījumos.</w:t>
                            </w:r>
                          </w:p>
                          <w:p w14:paraId="3AA2C77E" w14:textId="77777777" w:rsidR="00C20FFA" w:rsidRPr="00A53AC6" w:rsidRDefault="00C20FFA" w:rsidP="00C20FFA">
                            <w:pPr>
                              <w:pStyle w:val="Sarakstarindkop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212121"/>
                                <w:shd w:val="clear" w:color="auto" w:fill="FFFFFF"/>
                                <w:lang w:val="lv-LV"/>
                              </w:rPr>
                            </w:pPr>
                            <w:r w:rsidRPr="005C4959">
                              <w:rPr>
                                <w:rFonts w:ascii="Times New Roman" w:hAnsi="Times New Roman" w:cs="Times New Roman"/>
                                <w:color w:val="212121"/>
                                <w:shd w:val="clear" w:color="auto" w:fill="FFFFFF"/>
                              </w:rPr>
                              <w:t>Racionāla antibiotiku izvēle un kursa ilguma ierobežošana ir galvenās AIC profilakses metodes.</w:t>
                            </w:r>
                          </w:p>
                          <w:p w14:paraId="37EA56E6" w14:textId="3D8E4867" w:rsidR="00EA0DA3" w:rsidRDefault="00EA0DA3" w:rsidP="00EA0DA3">
                            <w:pPr>
                              <w:jc w:val="center"/>
                            </w:pPr>
                            <w:r>
                              <w:rPr>
                                <w:rStyle w:val="apple-converted-space"/>
                                <w:rFonts w:ascii="-webkit-standard" w:hAnsi="-webkit-standard"/>
                                <w:color w:val="000000"/>
                                <w:sz w:val="27"/>
                                <w:szCs w:val="27"/>
                                <w:lang w:val="lv-LV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1494C" id="_x0000_s1027" type="#_x0000_t202" style="position:absolute;margin-left:28.15pt;margin-top:11.55pt;width:385.7pt;height:86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" fillcolor="white [3201]" strokecolor="red" strokeweight="2.25pt">
                <v:textbox>
                  <w:txbxContent>
                    <w:p w14:paraId="167C5BAE" w14:textId="6C3EA8B5" w:rsidR="00C20FFA" w:rsidRPr="00F14EF3" w:rsidRDefault="00C20FFA" w:rsidP="00C20FF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212121"/>
                          <w:shd w:val="clear" w:color="auto" w:fill="FFFFFF"/>
                          <w:lang w:val="lv-LV"/>
                        </w:rPr>
                      </w:pPr>
                      <w:r w:rsidRPr="00F14EF3">
                        <w:rPr>
                          <w:rFonts w:ascii="Times New Roman" w:hAnsi="Times New Roman" w:cs="Times New Roman"/>
                          <w:b/>
                          <w:bCs/>
                          <w:color w:val="212121"/>
                          <w:shd w:val="clear" w:color="auto" w:fill="FFFFFF"/>
                          <w:lang w:val="lv-LV"/>
                        </w:rPr>
                        <w:t xml:space="preserve">Ieteikumi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12121"/>
                          <w:shd w:val="clear" w:color="auto" w:fill="FFFFFF"/>
                          <w:lang w:val="lv-LV"/>
                        </w:rPr>
                        <w:t xml:space="preserve">AB </w:t>
                      </w:r>
                      <w:r w:rsidRPr="00F14EF3">
                        <w:rPr>
                          <w:rFonts w:ascii="Times New Roman" w:hAnsi="Times New Roman" w:cs="Times New Roman"/>
                          <w:b/>
                          <w:bCs/>
                          <w:color w:val="212121"/>
                          <w:shd w:val="clear" w:color="auto" w:fill="FFFFFF"/>
                          <w:lang w:val="lv-LV"/>
                        </w:rPr>
                        <w:t>terapijas izvēlei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12121"/>
                          <w:shd w:val="clear" w:color="auto" w:fill="FFFFFF"/>
                          <w:lang w:val="lv-LV"/>
                        </w:rPr>
                        <w:t xml:space="preserve"> AIC profilaksei</w:t>
                      </w:r>
                    </w:p>
                    <w:p w14:paraId="3BD5E7E5" w14:textId="1D7CAC77" w:rsidR="00C20FFA" w:rsidRPr="00A53AC6" w:rsidRDefault="00C20FFA" w:rsidP="00C20FFA">
                      <w:pPr>
                        <w:pStyle w:val="Sarakstarindkopa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212121"/>
                          <w:shd w:val="clear" w:color="auto" w:fill="FFFFFF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12121"/>
                          <w:shd w:val="clear" w:color="auto" w:fill="FFFFFF"/>
                          <w:lang w:val="lv-LV"/>
                        </w:rPr>
                        <w:t>I</w:t>
                      </w:r>
                      <w:r w:rsidRPr="00A53AC6">
                        <w:rPr>
                          <w:rFonts w:ascii="Times New Roman" w:hAnsi="Times New Roman" w:cs="Times New Roman"/>
                          <w:color w:val="212121"/>
                          <w:shd w:val="clear" w:color="auto" w:fill="FFFFFF"/>
                          <w:lang w:val="lv-LV"/>
                        </w:rPr>
                        <w:t>zvairīties no nepamatotas antibiotiku lietošanas.</w:t>
                      </w:r>
                    </w:p>
                    <w:p w14:paraId="182E1330" w14:textId="1C07D3B8" w:rsidR="00C20FFA" w:rsidRDefault="00C20FFA" w:rsidP="00C20FFA">
                      <w:pPr>
                        <w:pStyle w:val="Sarakstarindkopa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212121"/>
                          <w:shd w:val="clear" w:color="auto" w:fill="FFFFFF"/>
                          <w:lang w:val="lv-LV"/>
                        </w:rPr>
                      </w:pPr>
                      <w:r w:rsidRPr="00A53AC6">
                        <w:rPr>
                          <w:rFonts w:ascii="Times New Roman" w:hAnsi="Times New Roman" w:cs="Times New Roman"/>
                          <w:color w:val="212121"/>
                          <w:shd w:val="clear" w:color="auto" w:fill="FFFFFF"/>
                          <w:lang w:val="lv-LV"/>
                        </w:rPr>
                        <w:t>Izmantot plaša spektra antibiotikas tikai nepieciešamības gadījumos.</w:t>
                      </w:r>
                    </w:p>
                    <w:p w14:paraId="3AA2C77E" w14:textId="77777777" w:rsidR="00C20FFA" w:rsidRPr="00A53AC6" w:rsidRDefault="00C20FFA" w:rsidP="00C20FFA">
                      <w:pPr>
                        <w:pStyle w:val="Sarakstarindkopa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212121"/>
                          <w:shd w:val="clear" w:color="auto" w:fill="FFFFFF"/>
                          <w:lang w:val="lv-LV"/>
                        </w:rPr>
                      </w:pPr>
                      <w:r w:rsidRPr="005C4959">
                        <w:rPr>
                          <w:rFonts w:ascii="Times New Roman" w:hAnsi="Times New Roman" w:cs="Times New Roman"/>
                          <w:color w:val="212121"/>
                          <w:shd w:val="clear" w:color="auto" w:fill="FFFFFF"/>
                        </w:rPr>
                        <w:t>Racionāla antibiotiku izvēle un kursa ilguma ierobežošana ir galvenās AIC profilakses metodes.</w:t>
                      </w:r>
                    </w:p>
                    <w:p w14:paraId="37EA56E6" w14:textId="3D8E4867" w:rsidR="00EA0DA3" w:rsidRDefault="00EA0DA3" w:rsidP="00EA0DA3">
                      <w:pPr>
                        <w:jc w:val="center"/>
                      </w:pPr>
                      <w:r>
                        <w:rPr>
                          <w:rStyle w:val="apple-converted-space"/>
                          <w:rFonts w:ascii="-webkit-standard" w:hAnsi="-webkit-standard"/>
                          <w:color w:val="000000"/>
                          <w:sz w:val="27"/>
                          <w:szCs w:val="27"/>
                          <w:lang w:val="lv-LV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007BB13D" w14:textId="735AEB37" w:rsidR="00EA0DA3" w:rsidRDefault="00EA0DA3" w:rsidP="00F14EF3">
      <w:pPr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</w:pPr>
    </w:p>
    <w:p w14:paraId="70426479" w14:textId="77777777" w:rsidR="00EA0DA3" w:rsidRDefault="00EA0DA3" w:rsidP="00F14EF3">
      <w:pPr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</w:pPr>
    </w:p>
    <w:p w14:paraId="629730FC" w14:textId="755D0BF1" w:rsidR="005C4959" w:rsidRPr="00A53AC6" w:rsidRDefault="00EA0DA3" w:rsidP="00C20FFA">
      <w:p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  <w:br/>
      </w:r>
    </w:p>
    <w:p w14:paraId="1EB50701" w14:textId="77777777" w:rsidR="005C4959" w:rsidRDefault="005C4959" w:rsidP="00625A87">
      <w:pPr>
        <w:rPr>
          <w:rFonts w:ascii="Times New Roman" w:hAnsi="Times New Roman" w:cs="Times New Roman"/>
          <w:b/>
          <w:bCs/>
          <w:shd w:val="clear" w:color="auto" w:fill="FFFFFF"/>
          <w:lang w:val="lv-LV"/>
        </w:rPr>
      </w:pPr>
    </w:p>
    <w:p w14:paraId="458BF8F8" w14:textId="71058E18" w:rsidR="00F14EF3" w:rsidRDefault="005C4959" w:rsidP="00625A87">
      <w:pPr>
        <w:rPr>
          <w:rFonts w:ascii="Times New Roman" w:hAnsi="Times New Roman" w:cs="Times New Roman"/>
          <w:b/>
          <w:bCs/>
          <w:shd w:val="clear" w:color="auto" w:fill="FFFFFF"/>
          <w:lang w:val="lv-LV"/>
        </w:rPr>
      </w:pPr>
      <w:proofErr w:type="spellStart"/>
      <w:r w:rsidRPr="005C4959">
        <w:rPr>
          <w:rFonts w:ascii="Times New Roman" w:hAnsi="Times New Roman" w:cs="Times New Roman"/>
          <w:b/>
          <w:bCs/>
          <w:shd w:val="clear" w:color="auto" w:fill="FFFFFF"/>
          <w:lang w:val="lv-LV"/>
        </w:rPr>
        <w:t>Probiotik</w:t>
      </w:r>
      <w:r w:rsidR="001A01F9">
        <w:rPr>
          <w:rFonts w:ascii="Times New Roman" w:hAnsi="Times New Roman" w:cs="Times New Roman"/>
          <w:b/>
          <w:bCs/>
          <w:shd w:val="clear" w:color="auto" w:fill="FFFFFF"/>
          <w:lang w:val="lv-LV"/>
        </w:rPr>
        <w:t>u</w:t>
      </w:r>
      <w:proofErr w:type="spellEnd"/>
      <w:r w:rsidR="001A01F9">
        <w:rPr>
          <w:rFonts w:ascii="Times New Roman" w:hAnsi="Times New Roman" w:cs="Times New Roman"/>
          <w:b/>
          <w:bCs/>
          <w:shd w:val="clear" w:color="auto" w:fill="FFFFFF"/>
          <w:lang w:val="lv-LV"/>
        </w:rPr>
        <w:t xml:space="preserve"> izmantošana AIC profilaksei un ārstēšanai</w:t>
      </w:r>
    </w:p>
    <w:p w14:paraId="0C7F082E" w14:textId="77777777" w:rsidR="00763BC7" w:rsidRPr="005C4959" w:rsidRDefault="00763BC7" w:rsidP="00625A87">
      <w:pPr>
        <w:rPr>
          <w:rFonts w:ascii="Times New Roman" w:hAnsi="Times New Roman" w:cs="Times New Roman"/>
          <w:b/>
          <w:bCs/>
          <w:shd w:val="clear" w:color="auto" w:fill="FFFFFF"/>
          <w:lang w:val="lv-LV"/>
        </w:rPr>
      </w:pPr>
    </w:p>
    <w:p w14:paraId="3672488F" w14:textId="6233FF43" w:rsidR="005C4959" w:rsidRDefault="005C4959" w:rsidP="00895A44">
      <w:pPr>
        <w:pStyle w:val="Paraststmeklis"/>
        <w:shd w:val="clear" w:color="auto" w:fill="FFFFFF"/>
        <w:spacing w:before="240" w:beforeAutospacing="0" w:after="240" w:afterAutospacing="0"/>
        <w:rPr>
          <w:color w:val="1B1B1B"/>
          <w:sz w:val="22"/>
          <w:szCs w:val="22"/>
          <w:lang w:val="lv-LV"/>
        </w:rPr>
      </w:pPr>
      <w:r>
        <w:rPr>
          <w:noProof/>
          <w:color w:val="1B1B1B"/>
          <w:sz w:val="22"/>
          <w:szCs w:val="22"/>
          <w:lang w:val="lv-LV" w:eastAsia="lv-LV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49E67" wp14:editId="3979BD73">
                <wp:simplePos x="0" y="0"/>
                <wp:positionH relativeFrom="column">
                  <wp:posOffset>627530</wp:posOffset>
                </wp:positionH>
                <wp:positionV relativeFrom="paragraph">
                  <wp:posOffset>42956</wp:posOffset>
                </wp:positionV>
                <wp:extent cx="4794138" cy="704193"/>
                <wp:effectExtent l="19050" t="19050" r="26035" b="20320"/>
                <wp:wrapNone/>
                <wp:docPr id="17056988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138" cy="7041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042EE5B" w14:textId="52D720D3" w:rsidR="005C4959" w:rsidRPr="005C4959" w:rsidRDefault="005C4959" w:rsidP="005C49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49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Probiotikas ir dzīvi mikroorganismi, kas, lietoti pietiekamā daudzumā, sniedz labvēlīgu ietekmi uz saimniekorganisma veselību.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9E67" id="Text Box 4" o:spid="_x0000_s1028" type="#_x0000_t202" style="position:absolute;margin-left:49.4pt;margin-top:3.4pt;width:377.5pt;height:5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" fillcolor="white [3201]" strokecolor="red" strokeweight="3pt">
                <v:textbox>
                  <w:txbxContent>
                    <w:p w14:paraId="7042EE5B" w14:textId="52D720D3" w:rsidR="005C4959" w:rsidRPr="005C4959" w:rsidRDefault="005C4959" w:rsidP="005C49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49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Probiotikas ir dzīvi mikroorganismi, kas, lietoti pietiekamā daudzumā, sniedz labvēlīgu ietekmi uz saimniekorganisma veselību.</w:t>
                      </w:r>
                    </w:p>
                  </w:txbxContent>
                </v:textbox>
              </v:shape>
            </w:pict>
          </mc:Fallback>
        </mc:AlternateContent>
      </w:r>
    </w:p>
    <w:p w14:paraId="11C188FA" w14:textId="77777777" w:rsidR="005C4959" w:rsidRDefault="005C4959" w:rsidP="00895A44">
      <w:pPr>
        <w:pStyle w:val="Paraststmeklis"/>
        <w:shd w:val="clear" w:color="auto" w:fill="FFFFFF"/>
        <w:spacing w:before="240" w:beforeAutospacing="0" w:after="240" w:afterAutospacing="0"/>
        <w:rPr>
          <w:color w:val="1B1B1B"/>
          <w:sz w:val="22"/>
          <w:szCs w:val="22"/>
          <w:lang w:val="lv-LV"/>
        </w:rPr>
      </w:pPr>
    </w:p>
    <w:p w14:paraId="3B78A1CC" w14:textId="77777777" w:rsidR="005C4959" w:rsidRDefault="005C4959" w:rsidP="00895A44">
      <w:pPr>
        <w:pStyle w:val="Paraststmeklis"/>
        <w:shd w:val="clear" w:color="auto" w:fill="FFFFFF"/>
        <w:spacing w:before="240" w:beforeAutospacing="0" w:after="240" w:afterAutospacing="0"/>
        <w:rPr>
          <w:color w:val="1B1B1B"/>
          <w:sz w:val="22"/>
          <w:szCs w:val="22"/>
          <w:lang w:val="lv-LV"/>
        </w:rPr>
      </w:pPr>
    </w:p>
    <w:p w14:paraId="24F4394F" w14:textId="21868049" w:rsidR="00570F03" w:rsidRPr="0048236E" w:rsidRDefault="00570F03" w:rsidP="00570F0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48236E">
        <w:rPr>
          <w:rFonts w:ascii="Times New Roman" w:hAnsi="Times New Roman" w:cs="Times New Roman"/>
          <w:sz w:val="24"/>
          <w:szCs w:val="24"/>
          <w:lang w:val="lv-LV"/>
        </w:rPr>
        <w:t>Probiotikas</w:t>
      </w:r>
      <w:proofErr w:type="spellEnd"/>
      <w:r w:rsidRPr="0048236E">
        <w:rPr>
          <w:rFonts w:ascii="Times New Roman" w:hAnsi="Times New Roman" w:cs="Times New Roman"/>
          <w:sz w:val="24"/>
          <w:szCs w:val="24"/>
          <w:lang w:val="lv-LV"/>
        </w:rPr>
        <w:t xml:space="preserve"> ir dzīvi mikroorganismi, kas, lietoti pietiekamā daudzumā, sniedz labvēlīgu ietekmi uz </w:t>
      </w:r>
      <w:proofErr w:type="spellStart"/>
      <w:r w:rsidRPr="0048236E">
        <w:rPr>
          <w:rFonts w:ascii="Times New Roman" w:hAnsi="Times New Roman" w:cs="Times New Roman"/>
          <w:sz w:val="24"/>
          <w:szCs w:val="24"/>
          <w:lang w:val="lv-LV"/>
        </w:rPr>
        <w:t>saimniekorganisma</w:t>
      </w:r>
      <w:proofErr w:type="spellEnd"/>
      <w:r w:rsidRPr="0048236E">
        <w:rPr>
          <w:rFonts w:ascii="Times New Roman" w:hAnsi="Times New Roman" w:cs="Times New Roman"/>
          <w:sz w:val="24"/>
          <w:szCs w:val="24"/>
          <w:lang w:val="lv-LV"/>
        </w:rPr>
        <w:t xml:space="preserve"> veselību [</w:t>
      </w:r>
      <w:r w:rsidR="00F64761">
        <w:rPr>
          <w:rFonts w:ascii="Times New Roman" w:hAnsi="Times New Roman" w:cs="Times New Roman"/>
          <w:sz w:val="24"/>
          <w:szCs w:val="24"/>
          <w:lang w:val="lv-LV"/>
        </w:rPr>
        <w:t xml:space="preserve">Hill </w:t>
      </w:r>
      <w:proofErr w:type="spellStart"/>
      <w:r w:rsidR="00F64761">
        <w:rPr>
          <w:rFonts w:ascii="Times New Roman" w:hAnsi="Times New Roman" w:cs="Times New Roman"/>
          <w:sz w:val="24"/>
          <w:szCs w:val="24"/>
          <w:lang w:val="lv-LV"/>
        </w:rPr>
        <w:t>et</w:t>
      </w:r>
      <w:proofErr w:type="spellEnd"/>
      <w:r w:rsidR="00F6476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F64761">
        <w:rPr>
          <w:rFonts w:ascii="Times New Roman" w:hAnsi="Times New Roman" w:cs="Times New Roman"/>
          <w:sz w:val="24"/>
          <w:szCs w:val="24"/>
          <w:lang w:val="lv-LV"/>
        </w:rPr>
        <w:t>al</w:t>
      </w:r>
      <w:proofErr w:type="spellEnd"/>
      <w:r w:rsidR="00F64761">
        <w:rPr>
          <w:rFonts w:ascii="Times New Roman" w:hAnsi="Times New Roman" w:cs="Times New Roman"/>
          <w:sz w:val="24"/>
          <w:szCs w:val="24"/>
          <w:lang w:val="lv-LV"/>
        </w:rPr>
        <w:t xml:space="preserve">, 2016; </w:t>
      </w:r>
      <w:proofErr w:type="spellStart"/>
      <w:r w:rsidR="00A25870">
        <w:rPr>
          <w:rFonts w:ascii="Times New Roman" w:hAnsi="Times New Roman" w:cs="Times New Roman"/>
          <w:sz w:val="24"/>
          <w:szCs w:val="24"/>
          <w:lang w:val="lv-LV"/>
        </w:rPr>
        <w:t>Goldenberg</w:t>
      </w:r>
      <w:proofErr w:type="spellEnd"/>
      <w:r w:rsidR="00A2587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A25870">
        <w:rPr>
          <w:rFonts w:ascii="Times New Roman" w:hAnsi="Times New Roman" w:cs="Times New Roman"/>
          <w:sz w:val="24"/>
          <w:szCs w:val="24"/>
          <w:lang w:val="lv-LV"/>
        </w:rPr>
        <w:t>et</w:t>
      </w:r>
      <w:proofErr w:type="spellEnd"/>
      <w:r w:rsidR="00A2587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A25870">
        <w:rPr>
          <w:rFonts w:ascii="Times New Roman" w:hAnsi="Times New Roman" w:cs="Times New Roman"/>
          <w:sz w:val="24"/>
          <w:szCs w:val="24"/>
          <w:lang w:val="lv-LV"/>
        </w:rPr>
        <w:t>al</w:t>
      </w:r>
      <w:proofErr w:type="spellEnd"/>
      <w:r w:rsidR="00A25870">
        <w:rPr>
          <w:rFonts w:ascii="Times New Roman" w:hAnsi="Times New Roman" w:cs="Times New Roman"/>
          <w:sz w:val="24"/>
          <w:szCs w:val="24"/>
          <w:lang w:val="lv-LV"/>
        </w:rPr>
        <w:t>, 2019</w:t>
      </w:r>
      <w:r w:rsidR="00DC7B06">
        <w:rPr>
          <w:rFonts w:ascii="Times New Roman" w:hAnsi="Times New Roman" w:cs="Times New Roman"/>
          <w:sz w:val="24"/>
          <w:szCs w:val="24"/>
          <w:lang w:val="lv-LV"/>
        </w:rPr>
        <w:t>;</w:t>
      </w:r>
      <w:r w:rsidR="00B1006B">
        <w:rPr>
          <w:rFonts w:ascii="Times New Roman" w:hAnsi="Times New Roman" w:cs="Times New Roman"/>
          <w:sz w:val="24"/>
          <w:szCs w:val="24"/>
          <w:lang w:val="lv-LV"/>
        </w:rPr>
        <w:t xml:space="preserve"> 19</w:t>
      </w:r>
      <w:r w:rsidRPr="0048236E">
        <w:rPr>
          <w:rFonts w:ascii="Times New Roman" w:hAnsi="Times New Roman" w:cs="Times New Roman"/>
          <w:sz w:val="24"/>
          <w:szCs w:val="24"/>
          <w:lang w:val="lv-LV"/>
        </w:rPr>
        <w:t>].</w:t>
      </w:r>
    </w:p>
    <w:p w14:paraId="389AE13C" w14:textId="4F67F6EF" w:rsidR="00763BC7" w:rsidRPr="00F64761" w:rsidRDefault="00C20FFA" w:rsidP="00763BC7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Tā kā pastāv hipotēze, ka AIC izraisa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disbioze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(novirzes zarnu trakta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mikrobiotas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sastāvā), kas radusies antibakteriālas terapijas </w:t>
      </w:r>
      <w:r w:rsidR="00275FF4">
        <w:rPr>
          <w:rFonts w:ascii="Times New Roman" w:hAnsi="Times New Roman" w:cs="Times New Roman"/>
          <w:sz w:val="24"/>
          <w:szCs w:val="24"/>
          <w:lang w:val="lv-LV"/>
        </w:rPr>
        <w:t>rezultātā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probiotikas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varētu būt viens no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disbiozes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koriģējošiem faktoriem. </w:t>
      </w:r>
      <w:r w:rsidR="00763BC7" w:rsidRPr="000803F8">
        <w:rPr>
          <w:rFonts w:ascii="Times New Roman" w:hAnsi="Times New Roman" w:cs="Times New Roman"/>
          <w:sz w:val="24"/>
          <w:szCs w:val="24"/>
          <w:lang w:val="lv-LV"/>
        </w:rPr>
        <w:t xml:space="preserve">Pētījumi rāda, ka </w:t>
      </w:r>
      <w:proofErr w:type="spellStart"/>
      <w:r w:rsidR="00763BC7" w:rsidRPr="000803F8">
        <w:rPr>
          <w:rFonts w:ascii="Times New Roman" w:hAnsi="Times New Roman" w:cs="Times New Roman"/>
          <w:sz w:val="24"/>
          <w:szCs w:val="24"/>
          <w:lang w:val="lv-LV"/>
        </w:rPr>
        <w:t>probiotikas</w:t>
      </w:r>
      <w:proofErr w:type="spellEnd"/>
      <w:r w:rsidR="00763BC7" w:rsidRPr="000803F8">
        <w:rPr>
          <w:rFonts w:ascii="Times New Roman" w:hAnsi="Times New Roman" w:cs="Times New Roman"/>
          <w:sz w:val="24"/>
          <w:szCs w:val="24"/>
          <w:lang w:val="lv-LV"/>
        </w:rPr>
        <w:t xml:space="preserve"> var pozitīvi ietekmēt </w:t>
      </w:r>
      <w:r w:rsidR="00275FF4">
        <w:rPr>
          <w:rFonts w:ascii="Times New Roman" w:hAnsi="Times New Roman" w:cs="Times New Roman"/>
          <w:sz w:val="24"/>
          <w:szCs w:val="24"/>
          <w:lang w:val="lv-LV"/>
        </w:rPr>
        <w:t>pastāvīgo</w:t>
      </w:r>
      <w:r w:rsidR="00763BC7" w:rsidRPr="000803F8">
        <w:rPr>
          <w:rFonts w:ascii="Times New Roman" w:hAnsi="Times New Roman" w:cs="Times New Roman"/>
          <w:sz w:val="24"/>
          <w:szCs w:val="24"/>
          <w:lang w:val="lv-LV"/>
        </w:rPr>
        <w:t xml:space="preserve"> zarnu </w:t>
      </w:r>
      <w:proofErr w:type="spellStart"/>
      <w:r w:rsidR="00763BC7" w:rsidRPr="000803F8">
        <w:rPr>
          <w:rFonts w:ascii="Times New Roman" w:hAnsi="Times New Roman" w:cs="Times New Roman"/>
          <w:sz w:val="24"/>
          <w:szCs w:val="24"/>
          <w:lang w:val="lv-LV"/>
        </w:rPr>
        <w:t>mikrobiotu</w:t>
      </w:r>
      <w:proofErr w:type="spellEnd"/>
      <w:r w:rsidR="00763BC7" w:rsidRPr="000803F8">
        <w:rPr>
          <w:rFonts w:ascii="Times New Roman" w:hAnsi="Times New Roman" w:cs="Times New Roman"/>
          <w:sz w:val="24"/>
          <w:szCs w:val="24"/>
          <w:lang w:val="lv-LV"/>
        </w:rPr>
        <w:t xml:space="preserve">, stiprināt intestinālā epitēlija </w:t>
      </w:r>
      <w:proofErr w:type="spellStart"/>
      <w:r w:rsidR="00763BC7" w:rsidRPr="000803F8">
        <w:rPr>
          <w:rFonts w:ascii="Times New Roman" w:hAnsi="Times New Roman" w:cs="Times New Roman"/>
          <w:sz w:val="24"/>
          <w:szCs w:val="24"/>
          <w:lang w:val="lv-LV"/>
        </w:rPr>
        <w:t>barjerfunkciju</w:t>
      </w:r>
      <w:proofErr w:type="spellEnd"/>
      <w:r w:rsidR="00763BC7" w:rsidRPr="000803F8">
        <w:rPr>
          <w:rFonts w:ascii="Times New Roman" w:hAnsi="Times New Roman" w:cs="Times New Roman"/>
          <w:sz w:val="24"/>
          <w:szCs w:val="24"/>
          <w:lang w:val="lv-LV"/>
        </w:rPr>
        <w:t xml:space="preserve"> un modulēt imūnās sistēmas darbību</w:t>
      </w:r>
      <w:r w:rsidR="00B1006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1006B" w:rsidRPr="00F64761">
        <w:rPr>
          <w:rFonts w:ascii="Times New Roman" w:hAnsi="Times New Roman" w:cs="Times New Roman"/>
          <w:sz w:val="24"/>
          <w:szCs w:val="24"/>
          <w:lang w:val="lv-LV"/>
        </w:rPr>
        <w:t>[</w:t>
      </w:r>
      <w:proofErr w:type="spellStart"/>
      <w:r w:rsidR="00A25870" w:rsidRPr="00F64761">
        <w:rPr>
          <w:rFonts w:ascii="Times New Roman" w:hAnsi="Times New Roman" w:cs="Times New Roman"/>
          <w:sz w:val="24"/>
          <w:szCs w:val="24"/>
          <w:shd w:val="clear" w:color="auto" w:fill="FFFFFF"/>
        </w:rPr>
        <w:t>Szajewska</w:t>
      </w:r>
      <w:proofErr w:type="spellEnd"/>
      <w:r w:rsidR="00A25870" w:rsidRPr="00F64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al, 2016; Guo et al, 2019</w:t>
      </w:r>
      <w:r w:rsidR="00B1006B" w:rsidRPr="00F64761">
        <w:rPr>
          <w:rFonts w:ascii="Times New Roman" w:hAnsi="Times New Roman" w:cs="Times New Roman"/>
          <w:sz w:val="24"/>
          <w:szCs w:val="24"/>
          <w:lang w:val="lv-LV"/>
        </w:rPr>
        <w:t>]</w:t>
      </w:r>
      <w:r w:rsidR="00763BC7" w:rsidRPr="00F64761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14:paraId="70735308" w14:textId="7598AE51" w:rsidR="00C20FFA" w:rsidRPr="005C4959" w:rsidRDefault="00C20FFA" w:rsidP="00C20FFA">
      <w:pPr>
        <w:pStyle w:val="Paraststmeklis"/>
        <w:rPr>
          <w:b/>
          <w:bCs/>
          <w:i/>
          <w:iCs/>
          <w:color w:val="000000" w:themeColor="text1"/>
          <w:u w:val="single"/>
        </w:rPr>
      </w:pPr>
      <w:proofErr w:type="spellStart"/>
      <w:r>
        <w:rPr>
          <w:b/>
          <w:bCs/>
          <w:i/>
          <w:iCs/>
          <w:color w:val="000000" w:themeColor="text1"/>
          <w:u w:val="single"/>
        </w:rPr>
        <w:t>Probiotiku</w:t>
      </w:r>
      <w:proofErr w:type="spellEnd"/>
      <w:r>
        <w:rPr>
          <w:b/>
          <w:bCs/>
          <w:i/>
          <w:iCs/>
          <w:color w:val="000000" w:themeColor="text1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 w:themeColor="text1"/>
          <w:u w:val="single"/>
        </w:rPr>
        <w:t>darbības</w:t>
      </w:r>
      <w:proofErr w:type="spellEnd"/>
      <w:r>
        <w:rPr>
          <w:b/>
          <w:bCs/>
          <w:i/>
          <w:iCs/>
          <w:color w:val="000000" w:themeColor="text1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 w:themeColor="text1"/>
          <w:u w:val="single"/>
        </w:rPr>
        <w:t>mehānismi</w:t>
      </w:r>
      <w:proofErr w:type="spellEnd"/>
      <w:r>
        <w:rPr>
          <w:b/>
          <w:bCs/>
          <w:i/>
          <w:iCs/>
          <w:color w:val="000000" w:themeColor="text1"/>
          <w:u w:val="single"/>
        </w:rPr>
        <w:t xml:space="preserve"> AIC </w:t>
      </w:r>
      <w:proofErr w:type="spellStart"/>
      <w:r>
        <w:rPr>
          <w:b/>
          <w:bCs/>
          <w:i/>
          <w:iCs/>
          <w:color w:val="000000" w:themeColor="text1"/>
          <w:u w:val="single"/>
        </w:rPr>
        <w:t>profilaksei</w:t>
      </w:r>
      <w:proofErr w:type="spellEnd"/>
      <w:r>
        <w:rPr>
          <w:b/>
          <w:bCs/>
          <w:i/>
          <w:iCs/>
          <w:color w:val="000000" w:themeColor="text1"/>
          <w:u w:val="single"/>
        </w:rPr>
        <w:t xml:space="preserve"> un </w:t>
      </w:r>
      <w:proofErr w:type="spellStart"/>
      <w:r>
        <w:rPr>
          <w:b/>
          <w:bCs/>
          <w:i/>
          <w:iCs/>
          <w:color w:val="000000" w:themeColor="text1"/>
          <w:u w:val="single"/>
        </w:rPr>
        <w:t>ārstēšanai</w:t>
      </w:r>
      <w:proofErr w:type="spellEnd"/>
    </w:p>
    <w:p w14:paraId="4CD77299" w14:textId="47020879" w:rsidR="00570F03" w:rsidRPr="00570F03" w:rsidRDefault="00570F03" w:rsidP="00570F03">
      <w:pPr>
        <w:pStyle w:val="Paraststmeklis"/>
        <w:rPr>
          <w:color w:val="000000" w:themeColor="text1"/>
        </w:rPr>
      </w:pPr>
      <w:proofErr w:type="spellStart"/>
      <w:r>
        <w:rPr>
          <w:color w:val="000000" w:themeColor="text1"/>
        </w:rPr>
        <w:t>Identificēti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vairāki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</w:t>
      </w:r>
      <w:r w:rsidRPr="00570F03">
        <w:rPr>
          <w:color w:val="000000" w:themeColor="text1"/>
        </w:rPr>
        <w:t>robiotiku</w:t>
      </w:r>
      <w:proofErr w:type="spellEnd"/>
      <w:r w:rsidRPr="00570F03">
        <w:rPr>
          <w:color w:val="000000" w:themeColor="text1"/>
        </w:rPr>
        <w:t xml:space="preserve"> </w:t>
      </w:r>
      <w:proofErr w:type="spellStart"/>
      <w:r w:rsidRPr="00570F03">
        <w:rPr>
          <w:color w:val="000000" w:themeColor="text1"/>
        </w:rPr>
        <w:t>darbības</w:t>
      </w:r>
      <w:proofErr w:type="spellEnd"/>
      <w:r w:rsidRPr="00570F03">
        <w:rPr>
          <w:color w:val="000000" w:themeColor="text1"/>
        </w:rPr>
        <w:t xml:space="preserve"> </w:t>
      </w:r>
      <w:proofErr w:type="spellStart"/>
      <w:r w:rsidRPr="00570F03">
        <w:rPr>
          <w:color w:val="000000" w:themeColor="text1"/>
        </w:rPr>
        <w:t>mehānismi</w:t>
      </w:r>
      <w:proofErr w:type="spellEnd"/>
      <w:r w:rsidRPr="00570F03">
        <w:rPr>
          <w:color w:val="000000" w:themeColor="text1"/>
        </w:rPr>
        <w:t xml:space="preserve"> AIC </w:t>
      </w:r>
      <w:proofErr w:type="spellStart"/>
      <w:r w:rsidRPr="00570F03">
        <w:rPr>
          <w:color w:val="000000" w:themeColor="text1"/>
        </w:rPr>
        <w:t>profilaksei</w:t>
      </w:r>
      <w:proofErr w:type="spellEnd"/>
      <w:r w:rsidRPr="00570F03">
        <w:rPr>
          <w:color w:val="000000" w:themeColor="text1"/>
        </w:rPr>
        <w:t xml:space="preserve"> un </w:t>
      </w:r>
      <w:proofErr w:type="spellStart"/>
      <w:r w:rsidRPr="00570F03">
        <w:rPr>
          <w:color w:val="000000" w:themeColor="text1"/>
        </w:rPr>
        <w:t>ārstēšanai</w:t>
      </w:r>
      <w:proofErr w:type="spellEnd"/>
      <w:r>
        <w:rPr>
          <w:color w:val="000000" w:themeColor="text1"/>
        </w:rPr>
        <w:t>:</w:t>
      </w:r>
    </w:p>
    <w:p w14:paraId="13455F5C" w14:textId="126E30EE" w:rsidR="00C20FFA" w:rsidRDefault="00C20FFA" w:rsidP="00C20FFA">
      <w:pPr>
        <w:pStyle w:val="Paraststmeklis"/>
        <w:numPr>
          <w:ilvl w:val="0"/>
          <w:numId w:val="25"/>
        </w:numPr>
        <w:rPr>
          <w:color w:val="000000"/>
        </w:rPr>
      </w:pPr>
      <w:proofErr w:type="spellStart"/>
      <w:r>
        <w:rPr>
          <w:color w:val="000000"/>
        </w:rPr>
        <w:t>mikrobiotas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sastāva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modulācija</w:t>
      </w:r>
      <w:proofErr w:type="spellEnd"/>
      <w:r>
        <w:rPr>
          <w:color w:val="000000"/>
        </w:rPr>
        <w:t>,</w:t>
      </w:r>
    </w:p>
    <w:p w14:paraId="676803CB" w14:textId="77777777" w:rsidR="00C20FFA" w:rsidRDefault="00C20FFA" w:rsidP="00C20FFA">
      <w:pPr>
        <w:pStyle w:val="Paraststmeklis"/>
        <w:numPr>
          <w:ilvl w:val="0"/>
          <w:numId w:val="25"/>
        </w:numPr>
        <w:rPr>
          <w:color w:val="000000"/>
        </w:rPr>
      </w:pPr>
      <w:proofErr w:type="spellStart"/>
      <w:r>
        <w:rPr>
          <w:color w:val="000000"/>
        </w:rPr>
        <w:t>gļotādas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barjerfunkcijas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stiprināšana</w:t>
      </w:r>
      <w:proofErr w:type="spellEnd"/>
      <w:r>
        <w:rPr>
          <w:color w:val="000000"/>
        </w:rPr>
        <w:t>,</w:t>
      </w:r>
    </w:p>
    <w:p w14:paraId="1C666581" w14:textId="77777777" w:rsidR="00C20FFA" w:rsidRDefault="00C20FFA" w:rsidP="00C20FFA">
      <w:pPr>
        <w:pStyle w:val="Paraststmeklis"/>
        <w:numPr>
          <w:ilvl w:val="0"/>
          <w:numId w:val="25"/>
        </w:numPr>
        <w:rPr>
          <w:color w:val="000000"/>
        </w:rPr>
      </w:pPr>
      <w:proofErr w:type="spellStart"/>
      <w:r>
        <w:rPr>
          <w:color w:val="000000"/>
        </w:rPr>
        <w:lastRenderedPageBreak/>
        <w:t>imūnās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sistēmas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modulācija</w:t>
      </w:r>
      <w:proofErr w:type="spellEnd"/>
      <w:r>
        <w:rPr>
          <w:color w:val="000000"/>
        </w:rPr>
        <w:t>.</w:t>
      </w:r>
    </w:p>
    <w:p w14:paraId="28BF8188" w14:textId="68A09C52" w:rsidR="00763BC7" w:rsidRPr="000803F8" w:rsidRDefault="006F3FA4" w:rsidP="00763BC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803F8">
        <w:rPr>
          <w:rFonts w:ascii="Times New Roman" w:hAnsi="Times New Roman" w:cs="Times New Roman"/>
          <w:sz w:val="24"/>
          <w:szCs w:val="24"/>
          <w:lang w:val="lv-LV"/>
        </w:rPr>
        <w:t>Tomēr šo efektu raksturs ir </w:t>
      </w:r>
      <w:r w:rsidRPr="000803F8">
        <w:rPr>
          <w:rFonts w:ascii="Times New Roman" w:hAnsi="Times New Roman" w:cs="Times New Roman"/>
          <w:b/>
          <w:bCs/>
          <w:sz w:val="24"/>
          <w:szCs w:val="24"/>
          <w:lang w:val="lv-LV"/>
        </w:rPr>
        <w:t>celmu specifisks</w:t>
      </w:r>
      <w:r w:rsidRPr="000803F8">
        <w:rPr>
          <w:rFonts w:ascii="Times New Roman" w:hAnsi="Times New Roman" w:cs="Times New Roman"/>
          <w:sz w:val="24"/>
          <w:szCs w:val="24"/>
          <w:lang w:val="lv-LV"/>
        </w:rPr>
        <w:t xml:space="preserve">, jo dažādi </w:t>
      </w:r>
      <w:proofErr w:type="spellStart"/>
      <w:r w:rsidRPr="000803F8">
        <w:rPr>
          <w:rFonts w:ascii="Times New Roman" w:hAnsi="Times New Roman" w:cs="Times New Roman"/>
          <w:sz w:val="24"/>
          <w:szCs w:val="24"/>
          <w:lang w:val="lv-LV"/>
        </w:rPr>
        <w:t>probiotiskie</w:t>
      </w:r>
      <w:proofErr w:type="spellEnd"/>
      <w:r w:rsidRPr="000803F8">
        <w:rPr>
          <w:rFonts w:ascii="Times New Roman" w:hAnsi="Times New Roman" w:cs="Times New Roman"/>
          <w:sz w:val="24"/>
          <w:szCs w:val="24"/>
          <w:lang w:val="lv-LV"/>
        </w:rPr>
        <w:t xml:space="preserve"> celmi demonstrē atšķirīgus darbības mehānismus un efektivitātes līmeni. </w:t>
      </w:r>
      <w:r w:rsidR="00F76B78">
        <w:rPr>
          <w:rFonts w:ascii="Times New Roman" w:hAnsi="Times New Roman" w:cs="Times New Roman"/>
          <w:sz w:val="24"/>
          <w:szCs w:val="24"/>
          <w:lang w:val="lv-LV"/>
        </w:rPr>
        <w:t xml:space="preserve">Balstoties uz pētījumu </w:t>
      </w:r>
      <w:proofErr w:type="spellStart"/>
      <w:r w:rsidR="00F76B78">
        <w:rPr>
          <w:rFonts w:ascii="Times New Roman" w:hAnsi="Times New Roman" w:cs="Times New Roman"/>
          <w:sz w:val="24"/>
          <w:szCs w:val="24"/>
          <w:lang w:val="lv-LV"/>
        </w:rPr>
        <w:t>metaanalīzi</w:t>
      </w:r>
      <w:proofErr w:type="spellEnd"/>
      <w:r w:rsidR="00F76B78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763BC7" w:rsidRPr="000803F8">
        <w:rPr>
          <w:rFonts w:ascii="Times New Roman" w:hAnsi="Times New Roman" w:cs="Times New Roman"/>
          <w:sz w:val="24"/>
          <w:szCs w:val="24"/>
          <w:lang w:val="lv-LV"/>
        </w:rPr>
        <w:t xml:space="preserve"> ar visaugstāko pierādījumu līmeni bērnu AIC profilaksē ir rekomendējami tikai daži celmi, </w:t>
      </w:r>
      <w:proofErr w:type="spellStart"/>
      <w:r w:rsidR="00763BC7" w:rsidRPr="00275FF4">
        <w:rPr>
          <w:rFonts w:ascii="Times New Roman" w:hAnsi="Times New Roman" w:cs="Times New Roman"/>
          <w:i/>
          <w:iCs/>
          <w:sz w:val="24"/>
          <w:szCs w:val="24"/>
          <w:lang w:val="lv-LV"/>
        </w:rPr>
        <w:t>Lactobacillus</w:t>
      </w:r>
      <w:proofErr w:type="spellEnd"/>
      <w:r w:rsidR="00763BC7" w:rsidRPr="00275FF4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="00763BC7" w:rsidRPr="00275FF4">
        <w:rPr>
          <w:rFonts w:ascii="Times New Roman" w:hAnsi="Times New Roman" w:cs="Times New Roman"/>
          <w:i/>
          <w:iCs/>
          <w:sz w:val="24"/>
          <w:szCs w:val="24"/>
          <w:lang w:val="lv-LV"/>
        </w:rPr>
        <w:t>rhamnosus</w:t>
      </w:r>
      <w:proofErr w:type="spellEnd"/>
      <w:r w:rsidR="00763BC7" w:rsidRPr="00275FF4">
        <w:rPr>
          <w:rFonts w:ascii="Times New Roman" w:hAnsi="Times New Roman" w:cs="Times New Roman"/>
          <w:i/>
          <w:iCs/>
          <w:sz w:val="24"/>
          <w:szCs w:val="24"/>
          <w:lang w:val="lv-LV"/>
        </w:rPr>
        <w:t> GG</w:t>
      </w:r>
      <w:r w:rsidR="00763BC7" w:rsidRPr="000803F8">
        <w:rPr>
          <w:rFonts w:ascii="Times New Roman" w:hAnsi="Times New Roman" w:cs="Times New Roman"/>
          <w:sz w:val="24"/>
          <w:szCs w:val="24"/>
          <w:lang w:val="lv-LV"/>
        </w:rPr>
        <w:t xml:space="preserve"> un </w:t>
      </w:r>
      <w:proofErr w:type="spellStart"/>
      <w:r w:rsidR="00763BC7" w:rsidRPr="000803F8">
        <w:rPr>
          <w:rFonts w:ascii="Times New Roman" w:hAnsi="Times New Roman" w:cs="Times New Roman"/>
          <w:i/>
          <w:iCs/>
          <w:sz w:val="24"/>
          <w:szCs w:val="24"/>
          <w:lang w:val="lv-LV"/>
        </w:rPr>
        <w:t>Saccharomyces</w:t>
      </w:r>
      <w:proofErr w:type="spellEnd"/>
      <w:r w:rsidR="00763BC7" w:rsidRPr="000803F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="00763BC7" w:rsidRPr="000803F8">
        <w:rPr>
          <w:rFonts w:ascii="Times New Roman" w:hAnsi="Times New Roman" w:cs="Times New Roman"/>
          <w:i/>
          <w:iCs/>
          <w:sz w:val="24"/>
          <w:szCs w:val="24"/>
          <w:lang w:val="lv-LV"/>
        </w:rPr>
        <w:t>boulardii</w:t>
      </w:r>
      <w:proofErr w:type="spellEnd"/>
      <w:r w:rsidR="00763BC7" w:rsidRPr="000803F8">
        <w:rPr>
          <w:rFonts w:ascii="Times New Roman" w:hAnsi="Times New Roman" w:cs="Times New Roman"/>
          <w:i/>
          <w:iCs/>
          <w:sz w:val="24"/>
          <w:szCs w:val="24"/>
          <w:lang w:val="lv-LV"/>
        </w:rPr>
        <w:t> CNCM I-745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[</w:t>
      </w:r>
      <w:r w:rsidR="00B1006B">
        <w:rPr>
          <w:rFonts w:ascii="Times New Roman" w:hAnsi="Times New Roman" w:cs="Times New Roman"/>
          <w:i/>
          <w:iCs/>
          <w:sz w:val="24"/>
          <w:szCs w:val="24"/>
          <w:lang w:val="lv-LV"/>
        </w:rPr>
        <w:t>17</w:t>
      </w:r>
      <w:r w:rsidR="00DC7B06">
        <w:rPr>
          <w:rFonts w:ascii="Times New Roman" w:hAnsi="Times New Roman" w:cs="Times New Roman"/>
          <w:i/>
          <w:iCs/>
          <w:sz w:val="24"/>
          <w:szCs w:val="24"/>
          <w:lang w:val="lv-LV"/>
        </w:rPr>
        <w:t>;</w:t>
      </w:r>
      <w:r w:rsidR="00B1006B">
        <w:rPr>
          <w:rFonts w:ascii="Times New Roman" w:hAnsi="Times New Roman" w:cs="Times New Roman"/>
          <w:i/>
          <w:iCs/>
          <w:sz w:val="24"/>
          <w:szCs w:val="24"/>
          <w:lang w:val="lv-LV"/>
        </w:rPr>
        <w:t>18</w:t>
      </w:r>
      <w:r w:rsidR="00DC7B06">
        <w:rPr>
          <w:rFonts w:ascii="Times New Roman" w:hAnsi="Times New Roman" w:cs="Times New Roman"/>
          <w:i/>
          <w:iCs/>
          <w:sz w:val="24"/>
          <w:szCs w:val="24"/>
          <w:lang w:val="lv-LV"/>
        </w:rPr>
        <w:t>;</w:t>
      </w:r>
      <w:r w:rsidR="00B1006B">
        <w:rPr>
          <w:rFonts w:ascii="Times New Roman" w:hAnsi="Times New Roman" w:cs="Times New Roman"/>
          <w:i/>
          <w:iCs/>
          <w:sz w:val="24"/>
          <w:szCs w:val="24"/>
          <w:lang w:val="lv-LV"/>
        </w:rPr>
        <w:t>20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]</w:t>
      </w:r>
      <w:r w:rsidR="00763BC7" w:rsidRPr="000803F8">
        <w:rPr>
          <w:rFonts w:ascii="Times New Roman" w:hAnsi="Times New Roman" w:cs="Times New Roman"/>
          <w:i/>
          <w:iCs/>
          <w:sz w:val="24"/>
          <w:szCs w:val="24"/>
          <w:lang w:val="lv-LV"/>
        </w:rPr>
        <w:t>.</w:t>
      </w:r>
      <w:r w:rsidR="00763BC7" w:rsidRPr="000803F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7DCEB07" w14:textId="77777777" w:rsidR="006F3FA4" w:rsidRDefault="006F3FA4" w:rsidP="00625A87">
      <w:p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0803F8">
        <w:rPr>
          <w:rFonts w:ascii="Times New Roman" w:hAnsi="Times New Roman" w:cs="Times New Roman"/>
          <w:sz w:val="24"/>
          <w:szCs w:val="24"/>
          <w:lang w:val="lv-LV"/>
        </w:rPr>
        <w:t>Probiotikas</w:t>
      </w:r>
      <w:proofErr w:type="spellEnd"/>
      <w:r w:rsidRPr="000803F8">
        <w:rPr>
          <w:rFonts w:ascii="Times New Roman" w:hAnsi="Times New Roman" w:cs="Times New Roman"/>
          <w:sz w:val="24"/>
          <w:szCs w:val="24"/>
          <w:lang w:val="lv-LV"/>
        </w:rPr>
        <w:t xml:space="preserve"> tiek izmantotas gan </w:t>
      </w:r>
      <w:r w:rsidRPr="000803F8">
        <w:rPr>
          <w:rFonts w:ascii="Times New Roman" w:hAnsi="Times New Roman" w:cs="Times New Roman"/>
          <w:b/>
          <w:bCs/>
          <w:sz w:val="24"/>
          <w:szCs w:val="24"/>
          <w:lang w:val="lv-LV"/>
        </w:rPr>
        <w:t>profilaktiski</w:t>
      </w:r>
      <w:r w:rsidRPr="000803F8">
        <w:rPr>
          <w:rFonts w:ascii="Times New Roman" w:hAnsi="Times New Roman" w:cs="Times New Roman"/>
          <w:sz w:val="24"/>
          <w:szCs w:val="24"/>
          <w:lang w:val="lv-LV"/>
        </w:rPr>
        <w:t> AIC riska samazināšanai, gan </w:t>
      </w:r>
      <w:r w:rsidRPr="000803F8">
        <w:rPr>
          <w:rFonts w:ascii="Times New Roman" w:hAnsi="Times New Roman" w:cs="Times New Roman"/>
          <w:b/>
          <w:bCs/>
          <w:sz w:val="24"/>
          <w:szCs w:val="24"/>
          <w:lang w:val="lv-LV"/>
        </w:rPr>
        <w:t>terapeitiski</w:t>
      </w:r>
      <w:r w:rsidRPr="000803F8">
        <w:rPr>
          <w:rFonts w:ascii="Times New Roman" w:hAnsi="Times New Roman" w:cs="Times New Roman"/>
          <w:sz w:val="24"/>
          <w:szCs w:val="24"/>
          <w:lang w:val="lv-LV"/>
        </w:rPr>
        <w:t> jau attīstītas caurejas gadījum</w:t>
      </w:r>
      <w:r w:rsidRPr="00BB4DB2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0803F8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755B0E53" w14:textId="2C0B3BB5" w:rsidR="00852904" w:rsidRPr="00570F03" w:rsidRDefault="005C4959" w:rsidP="00625A87">
      <w:pPr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proofErr w:type="spellStart"/>
      <w:r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>Pacientu</w:t>
      </w:r>
      <w:proofErr w:type="spellEnd"/>
      <w:r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</w:t>
      </w:r>
      <w:proofErr w:type="spellStart"/>
      <w:r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>grupas</w:t>
      </w:r>
      <w:proofErr w:type="spellEnd"/>
      <w:r w:rsidR="006F3FA4"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</w:t>
      </w:r>
      <w:proofErr w:type="spellStart"/>
      <w:r w:rsidR="006F3FA4"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>ar</w:t>
      </w:r>
      <w:proofErr w:type="spellEnd"/>
      <w:r w:rsidR="006F3FA4"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</w:t>
      </w:r>
      <w:proofErr w:type="spellStart"/>
      <w:r w:rsidR="006F3FA4"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>indikācijām</w:t>
      </w:r>
      <w:proofErr w:type="spellEnd"/>
      <w:r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</w:t>
      </w:r>
      <w:proofErr w:type="spellStart"/>
      <w:r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>probiotiku</w:t>
      </w:r>
      <w:proofErr w:type="spellEnd"/>
      <w:r w:rsidR="006F3FA4"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</w:t>
      </w:r>
      <w:proofErr w:type="spellStart"/>
      <w:r w:rsidR="006F3FA4"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>lietošanai</w:t>
      </w:r>
      <w:proofErr w:type="spellEnd"/>
      <w:r w:rsidR="006F3FA4"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AIC</w:t>
      </w:r>
      <w:r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</w:t>
      </w:r>
      <w:proofErr w:type="spellStart"/>
      <w:r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>profilaksei</w:t>
      </w:r>
      <w:proofErr w:type="spellEnd"/>
    </w:p>
    <w:p w14:paraId="0C7DD4A8" w14:textId="47EBD7EA" w:rsidR="005C4959" w:rsidRPr="00F64761" w:rsidRDefault="005C4959" w:rsidP="005C4959">
      <w:pPr>
        <w:pStyle w:val="Paraststmeklis"/>
      </w:pPr>
      <w:r>
        <w:rPr>
          <w:color w:val="000000"/>
        </w:rPr>
        <w:t xml:space="preserve">ESPGHAN </w:t>
      </w:r>
      <w:proofErr w:type="spellStart"/>
      <w:r>
        <w:rPr>
          <w:color w:val="000000"/>
        </w:rPr>
        <w:t>darba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iesaka</w:t>
      </w:r>
      <w:proofErr w:type="spellEnd"/>
      <w:r>
        <w:rPr>
          <w:color w:val="000000"/>
        </w:rPr>
        <w:t xml:space="preserve"> </w:t>
      </w:r>
      <w:proofErr w:type="spellStart"/>
      <w:r w:rsidR="00F76B78">
        <w:rPr>
          <w:color w:val="000000"/>
        </w:rPr>
        <w:t>izmantot</w:t>
      </w:r>
      <w:proofErr w:type="spellEnd"/>
      <w:r w:rsidR="00F76B78">
        <w:rPr>
          <w:color w:val="000000"/>
        </w:rPr>
        <w:t xml:space="preserve"> </w:t>
      </w:r>
      <w:proofErr w:type="spellStart"/>
      <w:r>
        <w:rPr>
          <w:color w:val="000000"/>
        </w:rPr>
        <w:t>probiotikas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Izteiksmgs"/>
          <w:rFonts w:eastAsiaTheme="majorEastAsia"/>
          <w:color w:val="000000"/>
        </w:rPr>
        <w:t>bērniem</w:t>
      </w:r>
      <w:proofErr w:type="spellEnd"/>
      <w:r>
        <w:rPr>
          <w:rStyle w:val="Izteiksmgs"/>
          <w:rFonts w:eastAsiaTheme="majorEastAsia"/>
          <w:color w:val="000000"/>
        </w:rPr>
        <w:t xml:space="preserve"> </w:t>
      </w:r>
      <w:proofErr w:type="spellStart"/>
      <w:r>
        <w:rPr>
          <w:rStyle w:val="Izteiksmgs"/>
          <w:rFonts w:eastAsiaTheme="majorEastAsia"/>
          <w:color w:val="000000"/>
        </w:rPr>
        <w:t>ar</w:t>
      </w:r>
      <w:proofErr w:type="spellEnd"/>
      <w:r>
        <w:rPr>
          <w:rStyle w:val="Izteiksmgs"/>
          <w:rFonts w:eastAsiaTheme="majorEastAsia"/>
          <w:color w:val="000000"/>
        </w:rPr>
        <w:t xml:space="preserve"> </w:t>
      </w:r>
      <w:proofErr w:type="spellStart"/>
      <w:r>
        <w:rPr>
          <w:rStyle w:val="Izteiksmgs"/>
          <w:rFonts w:eastAsiaTheme="majorEastAsia"/>
          <w:color w:val="000000"/>
        </w:rPr>
        <w:t>paaugstinātu</w:t>
      </w:r>
      <w:proofErr w:type="spellEnd"/>
      <w:r>
        <w:rPr>
          <w:rStyle w:val="Izteiksmgs"/>
          <w:rFonts w:eastAsiaTheme="majorEastAsia"/>
          <w:color w:val="000000"/>
        </w:rPr>
        <w:t xml:space="preserve"> AIC </w:t>
      </w:r>
      <w:proofErr w:type="spellStart"/>
      <w:r>
        <w:rPr>
          <w:rStyle w:val="Izteiksmgs"/>
          <w:rFonts w:eastAsiaTheme="majorEastAsia"/>
          <w:color w:val="000000"/>
        </w:rPr>
        <w:t>attīstības</w:t>
      </w:r>
      <w:proofErr w:type="spellEnd"/>
      <w:r>
        <w:rPr>
          <w:rStyle w:val="Izteiksmgs"/>
          <w:rFonts w:eastAsiaTheme="majorEastAsia"/>
          <w:color w:val="000000"/>
        </w:rPr>
        <w:t xml:space="preserve"> </w:t>
      </w:r>
      <w:proofErr w:type="spellStart"/>
      <w:r w:rsidRPr="00F64761">
        <w:rPr>
          <w:rStyle w:val="Izteiksmgs"/>
          <w:rFonts w:eastAsiaTheme="majorEastAsia"/>
        </w:rPr>
        <w:t>risku</w:t>
      </w:r>
      <w:proofErr w:type="spellEnd"/>
      <w:r w:rsidR="00B1006B" w:rsidRPr="00F64761">
        <w:rPr>
          <w:rStyle w:val="Izteiksmgs"/>
          <w:rFonts w:eastAsiaTheme="majorEastAsia"/>
        </w:rPr>
        <w:t xml:space="preserve"> </w:t>
      </w:r>
      <w:r w:rsidR="00B1006B" w:rsidRPr="00F64761">
        <w:rPr>
          <w:rStyle w:val="Izteiksmgs"/>
          <w:rFonts w:eastAsiaTheme="majorEastAsia"/>
          <w:b w:val="0"/>
          <w:bCs w:val="0"/>
        </w:rPr>
        <w:t>[</w:t>
      </w:r>
      <w:proofErr w:type="spellStart"/>
      <w:r w:rsidR="00A25870" w:rsidRPr="00F64761">
        <w:rPr>
          <w:shd w:val="clear" w:color="auto" w:fill="FFFFFF"/>
        </w:rPr>
        <w:t>Szajewska</w:t>
      </w:r>
      <w:proofErr w:type="spellEnd"/>
      <w:r w:rsidR="00A25870" w:rsidRPr="00F64761">
        <w:rPr>
          <w:shd w:val="clear" w:color="auto" w:fill="FFFFFF"/>
        </w:rPr>
        <w:t xml:space="preserve"> et al, 2016; </w:t>
      </w:r>
      <w:proofErr w:type="spellStart"/>
      <w:r w:rsidR="00A25870" w:rsidRPr="00F64761">
        <w:rPr>
          <w:shd w:val="clear" w:color="auto" w:fill="FFFFFF"/>
        </w:rPr>
        <w:t>Szajewska</w:t>
      </w:r>
      <w:proofErr w:type="spellEnd"/>
      <w:r w:rsidR="00A25870" w:rsidRPr="00F64761">
        <w:rPr>
          <w:shd w:val="clear" w:color="auto" w:fill="FFFFFF"/>
        </w:rPr>
        <w:t xml:space="preserve"> et al, 2023</w:t>
      </w:r>
      <w:r w:rsidR="00A25870" w:rsidRPr="00F64761">
        <w:rPr>
          <w:shd w:val="clear" w:color="auto" w:fill="FFFFFF"/>
          <w:lang w:val="lv-LV"/>
        </w:rPr>
        <w:t>]</w:t>
      </w:r>
      <w:r w:rsidRPr="00F64761">
        <w:rPr>
          <w:b/>
          <w:bCs/>
        </w:rPr>
        <w:t>:</w:t>
      </w:r>
    </w:p>
    <w:p w14:paraId="5253E40E" w14:textId="442E4EF5" w:rsidR="005C4959" w:rsidRDefault="00F76B78" w:rsidP="005C4959">
      <w:pPr>
        <w:pStyle w:val="Paraststmeklis"/>
        <w:numPr>
          <w:ilvl w:val="0"/>
          <w:numId w:val="26"/>
        </w:numPr>
        <w:rPr>
          <w:color w:val="000000"/>
        </w:rPr>
      </w:pPr>
      <w:proofErr w:type="spellStart"/>
      <w:r>
        <w:rPr>
          <w:color w:val="000000"/>
        </w:rPr>
        <w:t>pacientiem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</w:t>
      </w:r>
      <w:proofErr w:type="spellEnd"/>
      <w:r>
        <w:rPr>
          <w:color w:val="000000"/>
        </w:rPr>
        <w:t xml:space="preserve"> </w:t>
      </w:r>
      <w:proofErr w:type="spellStart"/>
      <w:r w:rsidR="005C4959">
        <w:rPr>
          <w:color w:val="000000"/>
        </w:rPr>
        <w:t>lieto</w:t>
      </w:r>
      <w:proofErr w:type="spellEnd"/>
      <w:r w:rsidR="005C4959">
        <w:rPr>
          <w:rStyle w:val="apple-converted-space"/>
          <w:rFonts w:eastAsiaTheme="majorEastAsia"/>
          <w:color w:val="000000"/>
        </w:rPr>
        <w:t> </w:t>
      </w:r>
      <w:proofErr w:type="spellStart"/>
      <w:r w:rsidR="005C4959">
        <w:rPr>
          <w:rStyle w:val="Izteiksmgs"/>
          <w:rFonts w:eastAsiaTheme="majorEastAsia"/>
          <w:color w:val="000000"/>
        </w:rPr>
        <w:t>aminopenicilīnus</w:t>
      </w:r>
      <w:proofErr w:type="spellEnd"/>
      <w:r w:rsidR="005C4959">
        <w:rPr>
          <w:rStyle w:val="Izteiksmgs"/>
          <w:rFonts w:eastAsiaTheme="majorEastAsia"/>
          <w:color w:val="000000"/>
        </w:rPr>
        <w:t xml:space="preserve"> (</w:t>
      </w:r>
      <w:proofErr w:type="spellStart"/>
      <w:r w:rsidR="005C4959">
        <w:rPr>
          <w:rStyle w:val="Izteiksmgs"/>
          <w:rFonts w:eastAsiaTheme="majorEastAsia"/>
          <w:color w:val="000000"/>
        </w:rPr>
        <w:t>ar</w:t>
      </w:r>
      <w:proofErr w:type="spellEnd"/>
      <w:r w:rsidR="005C4959">
        <w:rPr>
          <w:rStyle w:val="Izteiksmgs"/>
          <w:rFonts w:eastAsiaTheme="majorEastAsia"/>
          <w:color w:val="000000"/>
        </w:rPr>
        <w:t>/be</w:t>
      </w:r>
      <w:r w:rsidR="007B3DB5">
        <w:rPr>
          <w:rStyle w:val="Izteiksmgs"/>
          <w:rFonts w:eastAsiaTheme="majorEastAsia"/>
          <w:color w:val="000000"/>
        </w:rPr>
        <w:t xml:space="preserve">z </w:t>
      </w:r>
      <w:proofErr w:type="spellStart"/>
      <w:r w:rsidR="005C4959">
        <w:rPr>
          <w:rStyle w:val="Izteiksmgs"/>
          <w:rFonts w:eastAsiaTheme="majorEastAsia"/>
          <w:color w:val="000000"/>
        </w:rPr>
        <w:t>klavulānskābes</w:t>
      </w:r>
      <w:proofErr w:type="spellEnd"/>
      <w:proofErr w:type="gramStart"/>
      <w:r w:rsidR="005C4959">
        <w:rPr>
          <w:rStyle w:val="Izteiksmgs"/>
          <w:rFonts w:eastAsiaTheme="majorEastAsia"/>
          <w:color w:val="000000"/>
        </w:rPr>
        <w:t>)</w:t>
      </w:r>
      <w:r w:rsidR="005C4959">
        <w:rPr>
          <w:color w:val="000000"/>
        </w:rPr>
        <w:t>,</w:t>
      </w:r>
      <w:r w:rsidR="005C4959">
        <w:rPr>
          <w:rStyle w:val="apple-converted-space"/>
          <w:rFonts w:eastAsiaTheme="majorEastAsia"/>
          <w:color w:val="000000"/>
        </w:rPr>
        <w:t> </w:t>
      </w:r>
      <w:r>
        <w:rPr>
          <w:rStyle w:val="apple-converted-space"/>
          <w:rFonts w:eastAsiaTheme="majorEastAsia"/>
          <w:color w:val="000000"/>
        </w:rPr>
        <w:t xml:space="preserve"> </w:t>
      </w:r>
      <w:proofErr w:type="spellStart"/>
      <w:r w:rsidR="005C4959">
        <w:rPr>
          <w:rStyle w:val="Izteiksmgs"/>
          <w:rFonts w:eastAsiaTheme="majorEastAsia"/>
          <w:color w:val="000000"/>
        </w:rPr>
        <w:t>cefalosporīnus</w:t>
      </w:r>
      <w:proofErr w:type="spellEnd"/>
      <w:proofErr w:type="gramEnd"/>
      <w:r w:rsidR="005C4959">
        <w:rPr>
          <w:color w:val="000000"/>
        </w:rPr>
        <w:t>,</w:t>
      </w:r>
      <w:r w:rsidR="005C4959">
        <w:rPr>
          <w:rStyle w:val="apple-converted-space"/>
          <w:rFonts w:eastAsiaTheme="majorEastAsia"/>
          <w:color w:val="000000"/>
        </w:rPr>
        <w:t> </w:t>
      </w:r>
      <w:proofErr w:type="spellStart"/>
      <w:r w:rsidR="005C4959">
        <w:rPr>
          <w:rStyle w:val="Izteiksmgs"/>
          <w:rFonts w:eastAsiaTheme="majorEastAsia"/>
          <w:color w:val="000000"/>
        </w:rPr>
        <w:t>klindamicīnu</w:t>
      </w:r>
      <w:proofErr w:type="spellEnd"/>
      <w:r w:rsidR="005C4959">
        <w:rPr>
          <w:rStyle w:val="apple-converted-space"/>
          <w:rFonts w:eastAsiaTheme="majorEastAsia"/>
          <w:color w:val="000000"/>
        </w:rPr>
        <w:t> </w:t>
      </w:r>
      <w:proofErr w:type="spellStart"/>
      <w:r w:rsidR="005C4959">
        <w:rPr>
          <w:color w:val="000000"/>
        </w:rPr>
        <w:t>vai</w:t>
      </w:r>
      <w:proofErr w:type="spellEnd"/>
      <w:r w:rsidR="005C4959">
        <w:rPr>
          <w:color w:val="000000"/>
        </w:rPr>
        <w:t xml:space="preserve"> </w:t>
      </w:r>
      <w:proofErr w:type="spellStart"/>
      <w:r w:rsidR="005C4959">
        <w:rPr>
          <w:color w:val="000000"/>
        </w:rPr>
        <w:t>citas</w:t>
      </w:r>
      <w:proofErr w:type="spellEnd"/>
      <w:r w:rsidR="005C4959">
        <w:rPr>
          <w:color w:val="000000"/>
        </w:rPr>
        <w:t xml:space="preserve"> </w:t>
      </w:r>
      <w:proofErr w:type="spellStart"/>
      <w:r w:rsidR="005C4959">
        <w:rPr>
          <w:color w:val="000000"/>
        </w:rPr>
        <w:t>antibiotikas</w:t>
      </w:r>
      <w:proofErr w:type="spellEnd"/>
      <w:r w:rsidR="005C4959">
        <w:rPr>
          <w:color w:val="000000"/>
        </w:rPr>
        <w:t xml:space="preserve"> </w:t>
      </w:r>
      <w:proofErr w:type="spellStart"/>
      <w:r w:rsidR="005C4959">
        <w:rPr>
          <w:color w:val="000000"/>
        </w:rPr>
        <w:t>ar</w:t>
      </w:r>
      <w:proofErr w:type="spellEnd"/>
      <w:r w:rsidR="005C4959">
        <w:rPr>
          <w:color w:val="000000"/>
        </w:rPr>
        <w:t xml:space="preserve"> </w:t>
      </w:r>
      <w:proofErr w:type="spellStart"/>
      <w:r w:rsidR="005C4959">
        <w:rPr>
          <w:color w:val="000000"/>
        </w:rPr>
        <w:t>aktivitāti</w:t>
      </w:r>
      <w:proofErr w:type="spellEnd"/>
      <w:r w:rsidR="005C4959">
        <w:rPr>
          <w:color w:val="000000"/>
        </w:rPr>
        <w:t xml:space="preserve"> </w:t>
      </w:r>
      <w:proofErr w:type="spellStart"/>
      <w:r w:rsidR="005C4959">
        <w:rPr>
          <w:color w:val="000000"/>
        </w:rPr>
        <w:t>pret</w:t>
      </w:r>
      <w:proofErr w:type="spellEnd"/>
      <w:r w:rsidR="005C4959">
        <w:rPr>
          <w:color w:val="000000"/>
        </w:rPr>
        <w:t xml:space="preserve"> </w:t>
      </w:r>
      <w:proofErr w:type="spellStart"/>
      <w:r w:rsidR="005C4959">
        <w:rPr>
          <w:color w:val="000000"/>
        </w:rPr>
        <w:t>anaerob</w:t>
      </w:r>
      <w:r w:rsidR="00570F03">
        <w:rPr>
          <w:color w:val="000000"/>
        </w:rPr>
        <w:t>ajām</w:t>
      </w:r>
      <w:proofErr w:type="spellEnd"/>
      <w:r w:rsidR="00570F03">
        <w:rPr>
          <w:color w:val="000000"/>
        </w:rPr>
        <w:t xml:space="preserve"> </w:t>
      </w:r>
      <w:proofErr w:type="spellStart"/>
      <w:r w:rsidR="00570F03">
        <w:rPr>
          <w:color w:val="000000"/>
        </w:rPr>
        <w:t>baktērijām</w:t>
      </w:r>
      <w:proofErr w:type="spellEnd"/>
      <w:r w:rsidR="005C4959">
        <w:rPr>
          <w:color w:val="000000"/>
        </w:rPr>
        <w:t>,</w:t>
      </w:r>
    </w:p>
    <w:p w14:paraId="7760E1AC" w14:textId="77777777" w:rsidR="005C4959" w:rsidRDefault="005C4959" w:rsidP="005C4959">
      <w:pPr>
        <w:pStyle w:val="Paraststmeklis"/>
        <w:numPr>
          <w:ilvl w:val="0"/>
          <w:numId w:val="26"/>
        </w:numPr>
        <w:rPr>
          <w:color w:val="000000"/>
        </w:rPr>
      </w:pPr>
      <w:proofErr w:type="spellStart"/>
      <w:r>
        <w:rPr>
          <w:color w:val="000000"/>
        </w:rPr>
        <w:t>zīdaiņiem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pirmsskolas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vecuma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bērniem</w:t>
      </w:r>
      <w:proofErr w:type="spellEnd"/>
      <w:r>
        <w:rPr>
          <w:color w:val="000000"/>
        </w:rPr>
        <w:t>,</w:t>
      </w:r>
    </w:p>
    <w:p w14:paraId="3F9293FE" w14:textId="77777777" w:rsidR="00F76B78" w:rsidRDefault="005C4959" w:rsidP="005C4959">
      <w:pPr>
        <w:pStyle w:val="Paraststmeklis"/>
        <w:numPr>
          <w:ilvl w:val="0"/>
          <w:numId w:val="26"/>
        </w:numPr>
        <w:rPr>
          <w:color w:val="000000"/>
        </w:rPr>
      </w:pPr>
      <w:proofErr w:type="spellStart"/>
      <w:r>
        <w:rPr>
          <w:color w:val="000000"/>
        </w:rPr>
        <w:t>bērniem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hospitalizācijas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nepieciešamību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</w:t>
      </w:r>
      <w:r w:rsidR="00F76B78">
        <w:rPr>
          <w:color w:val="000000"/>
        </w:rPr>
        <w:t>ie</w:t>
      </w:r>
      <w:r>
        <w:rPr>
          <w:color w:val="000000"/>
        </w:rPr>
        <w:t>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riska</w:t>
      </w:r>
      <w:proofErr w:type="spellEnd"/>
      <w:r>
        <w:rPr>
          <w:color w:val="000000"/>
        </w:rPr>
        <w:t xml:space="preserve"> </w:t>
      </w:r>
      <w:proofErr w:type="spellStart"/>
      <w:r w:rsidR="00F76B78">
        <w:rPr>
          <w:color w:val="000000"/>
        </w:rPr>
        <w:t>faktoriem</w:t>
      </w:r>
      <w:proofErr w:type="spellEnd"/>
      <w:r w:rsidR="00F76B78">
        <w:rPr>
          <w:color w:val="000000"/>
        </w:rPr>
        <w:t>.</w:t>
      </w:r>
    </w:p>
    <w:p w14:paraId="59F4CA85" w14:textId="33F03AFF" w:rsidR="005C4959" w:rsidRPr="00275FF4" w:rsidRDefault="005C4959" w:rsidP="005C4959">
      <w:pP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275FF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Lai gan darba grupa atsevišķi neizdala rekomendācijas </w:t>
      </w:r>
      <w:proofErr w:type="spellStart"/>
      <w:r w:rsidRPr="00275FF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probiotiku</w:t>
      </w:r>
      <w:proofErr w:type="spellEnd"/>
      <w:r w:rsidRPr="00275FF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lietošanai visiem bērniem, secināts, ka  </w:t>
      </w:r>
      <w:proofErr w:type="spellStart"/>
      <w:r w:rsidRPr="00275FF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probiotikas</w:t>
      </w:r>
      <w:proofErr w:type="spellEnd"/>
      <w:r w:rsidRPr="00275FF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samazina arī AIC attīstības risku kopējā bērnu populācijā. Šāds </w:t>
      </w:r>
      <w:r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apsv</w:t>
      </w:r>
      <w:r w:rsidR="00570F03"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ē</w:t>
      </w:r>
      <w:r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rums balstīts uz </w:t>
      </w:r>
      <w:proofErr w:type="spellStart"/>
      <w:r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Kohrana</w:t>
      </w:r>
      <w:proofErr w:type="spellEnd"/>
      <w:r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pārskatu, iekļaujot 33 RKP ar 6352 dalībniekiem</w:t>
      </w:r>
      <w:r w:rsidR="00F76B78"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[</w:t>
      </w:r>
      <w:proofErr w:type="spellStart"/>
      <w:r w:rsidR="00A25870" w:rsidRPr="00F647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Szajewska</w:t>
      </w:r>
      <w:proofErr w:type="spellEnd"/>
      <w:r w:rsidR="00A25870" w:rsidRPr="00F647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al, 2023</w:t>
      </w:r>
      <w:r w:rsidR="00A25870"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; </w:t>
      </w:r>
      <w:proofErr w:type="spellStart"/>
      <w:r w:rsidR="00A25870"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Guo</w:t>
      </w:r>
      <w:proofErr w:type="spellEnd"/>
      <w:r w:rsidR="00A25870"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et </w:t>
      </w:r>
      <w:proofErr w:type="spellStart"/>
      <w:r w:rsidR="00A25870"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al</w:t>
      </w:r>
      <w:proofErr w:type="spellEnd"/>
      <w:r w:rsidR="00A25870"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 2019</w:t>
      </w:r>
      <w:r w:rsidR="00F76B78"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]</w:t>
      </w:r>
      <w:r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. Pārskats uzrāda </w:t>
      </w:r>
      <w:r w:rsidR="000E16F2"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, ka </w:t>
      </w:r>
      <w:r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NNT</w:t>
      </w:r>
      <w:r w:rsidR="000E16F2" w:rsidRPr="00F6476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(</w:t>
      </w:r>
      <w:r w:rsidR="000E16F2" w:rsidRPr="00F6476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number needed to treat</w:t>
      </w:r>
      <w:r w:rsidR="000E16F2" w:rsidRPr="00F6476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="00F76B78" w:rsidRPr="00F64761">
        <w:rPr>
          <w:rFonts w:ascii="Times New Roman" w:hAnsi="Times New Roman" w:cs="Times New Roman"/>
          <w:sz w:val="24"/>
          <w:szCs w:val="24"/>
          <w:shd w:val="clear" w:color="auto" w:fill="FFFFFF"/>
        </w:rPr>
        <w:t>jeb</w:t>
      </w:r>
      <w:proofErr w:type="spellEnd"/>
      <w:r w:rsidR="00F76B78" w:rsidRPr="00F64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E16F2" w:rsidRPr="00F647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pacientu</w:t>
      </w:r>
      <w:proofErr w:type="spellEnd"/>
      <w:r w:rsidR="000E16F2" w:rsidRPr="00F647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E16F2" w:rsidRPr="00F647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skaits</w:t>
      </w:r>
      <w:proofErr w:type="spellEnd"/>
      <w:r w:rsidR="000E16F2" w:rsidRPr="00F647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="000E16F2" w:rsidRPr="00275F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kas </w:t>
      </w:r>
      <w:proofErr w:type="spellStart"/>
      <w:r w:rsidR="000E16F2" w:rsidRPr="00275F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jāārstē</w:t>
      </w:r>
      <w:proofErr w:type="spellEnd"/>
      <w:r w:rsidR="000E16F2" w:rsidRPr="00275F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lai </w:t>
      </w:r>
      <w:proofErr w:type="spellStart"/>
      <w:r w:rsidR="000E16F2" w:rsidRPr="00275F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novērstu</w:t>
      </w:r>
      <w:proofErr w:type="spellEnd"/>
      <w:r w:rsidR="000E16F2" w:rsidRPr="00275F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E16F2" w:rsidRPr="00275F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vienu</w:t>
      </w:r>
      <w:proofErr w:type="spellEnd"/>
      <w:r w:rsidR="000E16F2" w:rsidRPr="00275F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E16F2" w:rsidRPr="00275F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gadījumu</w:t>
      </w:r>
      <w:proofErr w:type="spellEnd"/>
      <w:r w:rsidRPr="00275FF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0E16F2" w:rsidRPr="00275FF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) ir </w:t>
      </w:r>
      <w:r w:rsidRPr="00275FF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9 (</w:t>
      </w:r>
      <w:r w:rsidR="00570F0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95% Ticamības </w:t>
      </w:r>
      <w:proofErr w:type="spellStart"/>
      <w:r w:rsidR="00570F0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intervāsl</w:t>
      </w:r>
      <w:proofErr w:type="spellEnd"/>
      <w:r w:rsidR="00570F0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: </w:t>
      </w:r>
      <w:r w:rsidRPr="00275FF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7-13)</w:t>
      </w:r>
      <w:r w:rsidR="007272B5" w:rsidRPr="00275FF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</w:p>
    <w:p w14:paraId="1E5CB36C" w14:textId="5341A31E" w:rsidR="007272B5" w:rsidRPr="005C4959" w:rsidRDefault="007272B5" w:rsidP="005C4959">
      <w:pPr>
        <w:rPr>
          <w:rFonts w:ascii="Times New Roman" w:hAnsi="Times New Roman" w:cs="Times New Roman"/>
          <w:shd w:val="clear" w:color="auto" w:fill="FFFFFF"/>
          <w:lang w:val="lv-LV"/>
        </w:rPr>
      </w:pPr>
      <w:r>
        <w:rPr>
          <w:noProof/>
          <w:color w:val="000000"/>
          <w:lang w:val="lv-LV"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BCE453" wp14:editId="03EBC784">
                <wp:simplePos x="0" y="0"/>
                <wp:positionH relativeFrom="column">
                  <wp:posOffset>144556</wp:posOffset>
                </wp:positionH>
                <wp:positionV relativeFrom="paragraph">
                  <wp:posOffset>249219</wp:posOffset>
                </wp:positionV>
                <wp:extent cx="5503209" cy="1365997"/>
                <wp:effectExtent l="19050" t="19050" r="21590" b="24765"/>
                <wp:wrapNone/>
                <wp:docPr id="1674192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3209" cy="1365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0C465012" w14:textId="007A8471" w:rsidR="007272B5" w:rsidRDefault="0021495D" w:rsidP="007272B5">
                            <w:pPr>
                              <w:pStyle w:val="Paraststmeklis"/>
                              <w:ind w:left="360"/>
                              <w:jc w:val="center"/>
                              <w:rPr>
                                <w:color w:val="000000"/>
                              </w:rPr>
                            </w:pPr>
                            <w:r w:rsidRPr="005C4959">
                              <w:rPr>
                                <w:color w:val="000000"/>
                              </w:rPr>
                              <w:t xml:space="preserve">AIC </w:t>
                            </w:r>
                            <w:r w:rsidRPr="005C4959">
                              <w:rPr>
                                <w:color w:val="000000"/>
                              </w:rPr>
                              <w:t>risk</w:t>
                            </w:r>
                            <w:r>
                              <w:rPr>
                                <w:color w:val="000000"/>
                              </w:rPr>
                              <w:t>a samazināšanās probiotiku lietošanas gadījumā kopējā bērnu populācijā</w:t>
                            </w:r>
                          </w:p>
                          <w:p w14:paraId="1AAB1E14" w14:textId="3E35DD24" w:rsidR="007272B5" w:rsidRPr="007272B5" w:rsidRDefault="007272B5" w:rsidP="007272B5">
                            <w:pPr>
                              <w:pStyle w:val="Paraststmeklis"/>
                              <w:ind w:left="36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7272B5">
                              <w:rPr>
                                <w:b/>
                                <w:bCs/>
                                <w:color w:val="000000"/>
                              </w:rPr>
                              <w:t>A</w:t>
                            </w:r>
                            <w:r w:rsidR="0021495D" w:rsidRPr="007272B5">
                              <w:rPr>
                                <w:b/>
                                <w:bCs/>
                                <w:color w:val="000000"/>
                              </w:rPr>
                              <w:t xml:space="preserve">prēķinātais NNT </w:t>
                            </w:r>
                            <w:r w:rsidRPr="007272B5">
                              <w:rPr>
                                <w:b/>
                                <w:bCs/>
                                <w:color w:val="000000"/>
                              </w:rPr>
                              <w:t>(</w:t>
                            </w:r>
                            <w:r w:rsidRPr="007272B5">
                              <w:rPr>
                                <w:b/>
                                <w:bCs/>
                                <w:shd w:val="clear" w:color="auto" w:fill="FFFFFF"/>
                              </w:rPr>
                              <w:t xml:space="preserve">pacientu skaits, kas jāārstē, lai novērstu vienu </w:t>
                            </w:r>
                            <w:proofErr w:type="gramStart"/>
                            <w:r w:rsidRPr="007272B5"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gadījumu</w:t>
                            </w:r>
                            <w:r w:rsidRPr="007272B5">
                              <w:rPr>
                                <w:b/>
                                <w:bCs/>
                                <w:shd w:val="clear" w:color="auto" w:fill="FFFFFF"/>
                                <w:lang w:val="lv-LV"/>
                              </w:rPr>
                              <w:t>)</w:t>
                            </w:r>
                            <w:r w:rsidR="0021495D" w:rsidRPr="007272B5">
                              <w:rPr>
                                <w:b/>
                                <w:bCs/>
                                <w:color w:val="000000"/>
                              </w:rPr>
                              <w:t>=</w:t>
                            </w:r>
                            <w:proofErr w:type="gramEnd"/>
                            <w:r w:rsidR="0021495D" w:rsidRPr="007272B5">
                              <w:rPr>
                                <w:b/>
                                <w:bCs/>
                                <w:color w:val="000000"/>
                              </w:rPr>
                              <w:t xml:space="preserve"> 9 (95% TI: 7–13).</w:t>
                            </w:r>
                          </w:p>
                          <w:p w14:paraId="45374FC4" w14:textId="75428EA4" w:rsidR="005C4959" w:rsidRPr="007272B5" w:rsidRDefault="007272B5" w:rsidP="007272B5">
                            <w:pPr>
                              <w:pStyle w:val="Paraststmeklis"/>
                              <w:ind w:left="36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7272B5">
                              <w:rPr>
                                <w:rStyle w:val="Izteiksmgs"/>
                                <w:rFonts w:eastAsiaTheme="majorEastAsia"/>
                                <w:b w:val="0"/>
                                <w:bCs w:val="0"/>
                                <w:color w:val="000000"/>
                              </w:rPr>
                              <w:t>*</w:t>
                            </w:r>
                            <w:r w:rsidR="005C4959" w:rsidRPr="007272B5">
                              <w:rPr>
                                <w:rStyle w:val="Izteiksmgs"/>
                                <w:rFonts w:eastAsiaTheme="majorEastAsia"/>
                                <w:b w:val="0"/>
                                <w:bCs w:val="0"/>
                                <w:color w:val="000000"/>
                              </w:rPr>
                              <w:t>Kohrana pārskats (33 RKP, n=6352)</w:t>
                            </w:r>
                          </w:p>
                          <w:p w14:paraId="1E0A54CF" w14:textId="77777777" w:rsidR="005C4959" w:rsidRDefault="005C4959" w:rsidP="007272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CE453" id="Text Box 5" o:spid="_x0000_s1029" type="#_x0000_t202" style="position:absolute;margin-left:11.4pt;margin-top:19.6pt;width:433.3pt;height:10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" fillcolor="white [3201]" strokecolor="#4ea72e [3209]" strokeweight="2.25pt">
                <v:textbox>
                  <w:txbxContent>
                    <w:p w14:paraId="0C465012" w14:textId="007A8471" w:rsidR="007272B5" w:rsidRDefault="0021495D" w:rsidP="007272B5">
                      <w:pPr>
                        <w:pStyle w:val="Paraststmeklis"/>
                        <w:ind w:left="360"/>
                        <w:jc w:val="center"/>
                        <w:rPr>
                          <w:color w:val="000000"/>
                        </w:rPr>
                      </w:pPr>
                      <w:r w:rsidRPr="005C4959">
                        <w:rPr>
                          <w:color w:val="000000"/>
                        </w:rPr>
                        <w:t xml:space="preserve">AIC </w:t>
                      </w:r>
                      <w:r w:rsidRPr="005C4959">
                        <w:rPr>
                          <w:color w:val="000000"/>
                        </w:rPr>
                        <w:t>risk</w:t>
                      </w:r>
                      <w:r>
                        <w:rPr>
                          <w:color w:val="000000"/>
                        </w:rPr>
                        <w:t>a samazināšanās probiotiku lietošanas gadījumā kopējā bērnu populācijā</w:t>
                      </w:r>
                    </w:p>
                    <w:p w14:paraId="1AAB1E14" w14:textId="3E35DD24" w:rsidR="007272B5" w:rsidRPr="007272B5" w:rsidRDefault="007272B5" w:rsidP="007272B5">
                      <w:pPr>
                        <w:pStyle w:val="Paraststmeklis"/>
                        <w:ind w:left="36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7272B5">
                        <w:rPr>
                          <w:b/>
                          <w:bCs/>
                          <w:color w:val="000000"/>
                        </w:rPr>
                        <w:t>A</w:t>
                      </w:r>
                      <w:r w:rsidR="0021495D" w:rsidRPr="007272B5">
                        <w:rPr>
                          <w:b/>
                          <w:bCs/>
                          <w:color w:val="000000"/>
                        </w:rPr>
                        <w:t xml:space="preserve">prēķinātais NNT </w:t>
                      </w:r>
                      <w:r w:rsidRPr="007272B5">
                        <w:rPr>
                          <w:b/>
                          <w:bCs/>
                          <w:color w:val="000000"/>
                        </w:rPr>
                        <w:t>(</w:t>
                      </w:r>
                      <w:r w:rsidRPr="007272B5">
                        <w:rPr>
                          <w:b/>
                          <w:bCs/>
                          <w:shd w:val="clear" w:color="auto" w:fill="FFFFFF"/>
                        </w:rPr>
                        <w:t xml:space="preserve">pacientu skaits, kas jāārstē, lai novērstu vienu </w:t>
                      </w:r>
                      <w:proofErr w:type="gramStart"/>
                      <w:r w:rsidRPr="007272B5">
                        <w:rPr>
                          <w:b/>
                          <w:bCs/>
                          <w:shd w:val="clear" w:color="auto" w:fill="FFFFFF"/>
                        </w:rPr>
                        <w:t>gadījumu</w:t>
                      </w:r>
                      <w:r w:rsidRPr="007272B5">
                        <w:rPr>
                          <w:b/>
                          <w:bCs/>
                          <w:shd w:val="clear" w:color="auto" w:fill="FFFFFF"/>
                          <w:lang w:val="lv-LV"/>
                        </w:rPr>
                        <w:t>)</w:t>
                      </w:r>
                      <w:r w:rsidR="0021495D" w:rsidRPr="007272B5">
                        <w:rPr>
                          <w:b/>
                          <w:bCs/>
                          <w:color w:val="000000"/>
                        </w:rPr>
                        <w:t>=</w:t>
                      </w:r>
                      <w:proofErr w:type="gramEnd"/>
                      <w:r w:rsidR="0021495D" w:rsidRPr="007272B5">
                        <w:rPr>
                          <w:b/>
                          <w:bCs/>
                          <w:color w:val="000000"/>
                        </w:rPr>
                        <w:t xml:space="preserve"> 9 (95% TI: 7–13).</w:t>
                      </w:r>
                    </w:p>
                    <w:p w14:paraId="45374FC4" w14:textId="75428EA4" w:rsidR="005C4959" w:rsidRPr="007272B5" w:rsidRDefault="007272B5" w:rsidP="007272B5">
                      <w:pPr>
                        <w:pStyle w:val="Paraststmeklis"/>
                        <w:ind w:left="36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7272B5">
                        <w:rPr>
                          <w:rStyle w:val="Izteiksmgs"/>
                          <w:rFonts w:eastAsiaTheme="majorEastAsia"/>
                          <w:b w:val="0"/>
                          <w:bCs w:val="0"/>
                          <w:color w:val="000000"/>
                        </w:rPr>
                        <w:t>*</w:t>
                      </w:r>
                      <w:r w:rsidR="005C4959" w:rsidRPr="007272B5">
                        <w:rPr>
                          <w:rStyle w:val="Izteiksmgs"/>
                          <w:rFonts w:eastAsiaTheme="majorEastAsia"/>
                          <w:b w:val="0"/>
                          <w:bCs w:val="0"/>
                          <w:color w:val="000000"/>
                        </w:rPr>
                        <w:t>Kohrana pārskats (33 RKP, n=6352)</w:t>
                      </w:r>
                    </w:p>
                    <w:p w14:paraId="1E0A54CF" w14:textId="77777777" w:rsidR="005C4959" w:rsidRDefault="005C4959" w:rsidP="007272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5635BC9" w14:textId="1F44F539" w:rsidR="005C4959" w:rsidRDefault="005C4959" w:rsidP="005C4959">
      <w:pPr>
        <w:pStyle w:val="Paraststmeklis"/>
        <w:ind w:left="360"/>
        <w:rPr>
          <w:color w:val="000000"/>
        </w:rPr>
      </w:pPr>
    </w:p>
    <w:p w14:paraId="37C528DC" w14:textId="1473532C" w:rsidR="00625A87" w:rsidRPr="00A53AC6" w:rsidRDefault="00625A87" w:rsidP="00625A87">
      <w:pPr>
        <w:rPr>
          <w:rFonts w:ascii="Times New Roman" w:hAnsi="Times New Roman" w:cs="Times New Roman"/>
          <w:shd w:val="clear" w:color="auto" w:fill="FFFFFF"/>
          <w:lang w:val="lv-LV"/>
        </w:rPr>
      </w:pPr>
    </w:p>
    <w:p w14:paraId="362B2121" w14:textId="77777777" w:rsidR="00F76B78" w:rsidRDefault="00F76B78" w:rsidP="005C4959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14:paraId="35BEA0D5" w14:textId="77777777" w:rsidR="00570F03" w:rsidRDefault="00570F03" w:rsidP="005C4959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14:paraId="6C1AE144" w14:textId="77777777" w:rsidR="00570F03" w:rsidRDefault="00570F03" w:rsidP="005C4959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14:paraId="7FC94B0C" w14:textId="6D2CD601" w:rsidR="005C4959" w:rsidRPr="00570F03" w:rsidRDefault="005C4959" w:rsidP="005C4959">
      <w:pPr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proofErr w:type="spellStart"/>
      <w:r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>Rekomendētie</w:t>
      </w:r>
      <w:proofErr w:type="spellEnd"/>
      <w:r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</w:t>
      </w:r>
      <w:proofErr w:type="spellStart"/>
      <w:r w:rsidR="00275FF4"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>probiotiku</w:t>
      </w:r>
      <w:proofErr w:type="spellEnd"/>
      <w:r w:rsidR="00275FF4"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</w:t>
      </w:r>
      <w:proofErr w:type="spellStart"/>
      <w:r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>celmi</w:t>
      </w:r>
      <w:proofErr w:type="spellEnd"/>
      <w:r w:rsidRPr="00570F0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un devas</w:t>
      </w:r>
    </w:p>
    <w:p w14:paraId="40F69452" w14:textId="1A460454" w:rsidR="006F3FA4" w:rsidRPr="00275FF4" w:rsidRDefault="006F3FA4" w:rsidP="006F3FA4">
      <w:pPr>
        <w:rPr>
          <w:rFonts w:ascii="Times New Roman" w:hAnsi="Times New Roman" w:cs="Times New Roman"/>
          <w:sz w:val="24"/>
          <w:szCs w:val="24"/>
        </w:rPr>
      </w:pPr>
      <w:r w:rsidRPr="00275FF4">
        <w:rPr>
          <w:rFonts w:ascii="Times New Roman" w:hAnsi="Times New Roman" w:cs="Times New Roman"/>
          <w:sz w:val="24"/>
          <w:szCs w:val="24"/>
          <w:lang w:val="lv-LV"/>
        </w:rPr>
        <w:t>Ņemot vērā plašo preparātu klāstu, būtiski ir izvēlēties </w:t>
      </w:r>
      <w:r w:rsidRPr="00275FF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uz pētījumiem balstītas </w:t>
      </w:r>
      <w:proofErr w:type="spellStart"/>
      <w:r w:rsidRPr="00275FF4">
        <w:rPr>
          <w:rFonts w:ascii="Times New Roman" w:hAnsi="Times New Roman" w:cs="Times New Roman"/>
          <w:b/>
          <w:bCs/>
          <w:sz w:val="24"/>
          <w:szCs w:val="24"/>
          <w:lang w:val="lv-LV"/>
        </w:rPr>
        <w:t>probiotikas</w:t>
      </w:r>
      <w:proofErr w:type="spellEnd"/>
      <w:r w:rsidRPr="00275FF4">
        <w:rPr>
          <w:rFonts w:ascii="Times New Roman" w:hAnsi="Times New Roman" w:cs="Times New Roman"/>
          <w:sz w:val="24"/>
          <w:szCs w:val="24"/>
          <w:lang w:val="lv-LV"/>
        </w:rPr>
        <w:t xml:space="preserve"> un ievērot rekomendēto lietošanas veidu un ilgumu. Balstoties uz </w:t>
      </w:r>
      <w:proofErr w:type="spellStart"/>
      <w:r w:rsidRPr="00275FF4">
        <w:rPr>
          <w:rFonts w:ascii="Times New Roman" w:hAnsi="Times New Roman" w:cs="Times New Roman"/>
          <w:sz w:val="24"/>
          <w:szCs w:val="24"/>
          <w:lang w:val="lv-LV"/>
        </w:rPr>
        <w:t>ESPGHAn</w:t>
      </w:r>
      <w:proofErr w:type="spellEnd"/>
      <w:r w:rsidRPr="00275FF4">
        <w:rPr>
          <w:rFonts w:ascii="Times New Roman" w:hAnsi="Times New Roman" w:cs="Times New Roman"/>
          <w:sz w:val="24"/>
          <w:szCs w:val="24"/>
          <w:lang w:val="lv-LV"/>
        </w:rPr>
        <w:t xml:space="preserve"> darba grupas rekomendācijām, AIC </w:t>
      </w:r>
      <w:proofErr w:type="spellStart"/>
      <w:r w:rsidRPr="00275FF4">
        <w:rPr>
          <w:rFonts w:ascii="Times New Roman" w:hAnsi="Times New Roman" w:cs="Times New Roman"/>
          <w:sz w:val="24"/>
          <w:szCs w:val="24"/>
          <w:lang w:val="lv-LV"/>
        </w:rPr>
        <w:t>profiloaksei</w:t>
      </w:r>
      <w:proofErr w:type="spellEnd"/>
      <w:r w:rsidRPr="00275FF4">
        <w:rPr>
          <w:rFonts w:ascii="Times New Roman" w:hAnsi="Times New Roman" w:cs="Times New Roman"/>
          <w:sz w:val="24"/>
          <w:szCs w:val="24"/>
          <w:lang w:val="lv-LV"/>
        </w:rPr>
        <w:t xml:space="preserve"> izmantojami </w:t>
      </w:r>
      <w:proofErr w:type="spellStart"/>
      <w:r w:rsidR="005C4959" w:rsidRPr="00391DBE">
        <w:rPr>
          <w:rStyle w:val="Izclums"/>
          <w:rFonts w:ascii="Times New Roman" w:eastAsiaTheme="majorEastAsia" w:hAnsi="Times New Roman" w:cs="Times New Roman"/>
          <w:sz w:val="24"/>
          <w:szCs w:val="24"/>
          <w:lang w:val="lv-LV"/>
        </w:rPr>
        <w:t>Saccharomyces</w:t>
      </w:r>
      <w:proofErr w:type="spellEnd"/>
      <w:r w:rsidR="005C4959" w:rsidRPr="00391DBE">
        <w:rPr>
          <w:rStyle w:val="Izclums"/>
          <w:rFonts w:ascii="Times New Roman" w:eastAsiaTheme="majorEastAsia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5C4959" w:rsidRPr="00391DBE">
        <w:rPr>
          <w:rStyle w:val="Izclums"/>
          <w:rFonts w:ascii="Times New Roman" w:eastAsiaTheme="majorEastAsia" w:hAnsi="Times New Roman" w:cs="Times New Roman"/>
          <w:sz w:val="24"/>
          <w:szCs w:val="24"/>
          <w:lang w:val="lv-LV"/>
        </w:rPr>
        <w:t>boulardii</w:t>
      </w:r>
      <w:proofErr w:type="spellEnd"/>
      <w:r w:rsidR="005C4959" w:rsidRPr="00391DBE">
        <w:rPr>
          <w:rStyle w:val="apple-converted-space"/>
          <w:rFonts w:ascii="Times New Roman" w:eastAsiaTheme="majorEastAsia" w:hAnsi="Times New Roman" w:cs="Times New Roman"/>
          <w:sz w:val="24"/>
          <w:szCs w:val="24"/>
          <w:lang w:val="lv-LV"/>
        </w:rPr>
        <w:t> </w:t>
      </w:r>
      <w:r w:rsidR="005C4959" w:rsidRPr="00391DBE">
        <w:rPr>
          <w:rFonts w:ascii="Times New Roman" w:hAnsi="Times New Roman" w:cs="Times New Roman"/>
          <w:sz w:val="24"/>
          <w:szCs w:val="24"/>
          <w:lang w:val="lv-LV"/>
        </w:rPr>
        <w:t>CNCM I-745: 250–500 mg dienā,</w:t>
      </w:r>
      <w:r w:rsidRPr="00391DBE">
        <w:rPr>
          <w:rFonts w:ascii="Times New Roman" w:hAnsi="Times New Roman" w:cs="Times New Roman"/>
          <w:sz w:val="24"/>
          <w:szCs w:val="24"/>
          <w:lang w:val="lv-LV"/>
        </w:rPr>
        <w:t xml:space="preserve"> kā arī </w:t>
      </w:r>
      <w:proofErr w:type="spellStart"/>
      <w:r w:rsidR="005C4959" w:rsidRPr="00391DBE">
        <w:rPr>
          <w:rStyle w:val="Izclums"/>
          <w:rFonts w:ascii="Times New Roman" w:eastAsiaTheme="majorEastAsia" w:hAnsi="Times New Roman" w:cs="Times New Roman"/>
          <w:sz w:val="24"/>
          <w:szCs w:val="24"/>
          <w:lang w:val="lv-LV"/>
        </w:rPr>
        <w:t>Lactobacillus</w:t>
      </w:r>
      <w:proofErr w:type="spellEnd"/>
      <w:r w:rsidR="005C4959" w:rsidRPr="00391DBE">
        <w:rPr>
          <w:rStyle w:val="Izclums"/>
          <w:rFonts w:ascii="Times New Roman" w:eastAsiaTheme="majorEastAsia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5C4959" w:rsidRPr="00391DBE">
        <w:rPr>
          <w:rStyle w:val="Izclums"/>
          <w:rFonts w:ascii="Times New Roman" w:eastAsiaTheme="majorEastAsia" w:hAnsi="Times New Roman" w:cs="Times New Roman"/>
          <w:sz w:val="24"/>
          <w:szCs w:val="24"/>
          <w:lang w:val="lv-LV"/>
        </w:rPr>
        <w:t>rhamnosus</w:t>
      </w:r>
      <w:proofErr w:type="spellEnd"/>
      <w:r w:rsidR="005C4959" w:rsidRPr="00391DBE">
        <w:rPr>
          <w:rStyle w:val="apple-converted-space"/>
          <w:rFonts w:ascii="Times New Roman" w:eastAsiaTheme="majorEastAsia" w:hAnsi="Times New Roman" w:cs="Times New Roman"/>
          <w:sz w:val="24"/>
          <w:szCs w:val="24"/>
          <w:lang w:val="lv-LV"/>
        </w:rPr>
        <w:t> </w:t>
      </w:r>
      <w:r w:rsidR="005C4959" w:rsidRPr="00391DBE">
        <w:rPr>
          <w:rFonts w:ascii="Times New Roman" w:hAnsi="Times New Roman" w:cs="Times New Roman"/>
          <w:sz w:val="24"/>
          <w:szCs w:val="24"/>
          <w:lang w:val="lv-LV"/>
        </w:rPr>
        <w:t>GG: ≥5×10⁹ KFV dienā.</w:t>
      </w:r>
      <w:r w:rsidRPr="00391DB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75FF4">
        <w:rPr>
          <w:rFonts w:ascii="Times New Roman" w:hAnsi="Times New Roman" w:cs="Times New Roman"/>
          <w:sz w:val="24"/>
          <w:szCs w:val="24"/>
        </w:rPr>
        <w:t xml:space="preserve">Šie </w:t>
      </w:r>
      <w:proofErr w:type="spellStart"/>
      <w:r w:rsidRPr="00275FF4">
        <w:rPr>
          <w:rFonts w:ascii="Times New Roman" w:hAnsi="Times New Roman" w:cs="Times New Roman"/>
          <w:sz w:val="24"/>
          <w:szCs w:val="24"/>
        </w:rPr>
        <w:t>celmi</w:t>
      </w:r>
      <w:proofErr w:type="spellEnd"/>
      <w:r w:rsidRPr="00275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FF4">
        <w:rPr>
          <w:rFonts w:ascii="Times New Roman" w:hAnsi="Times New Roman" w:cs="Times New Roman"/>
          <w:sz w:val="24"/>
          <w:szCs w:val="24"/>
        </w:rPr>
        <w:t>jālieto</w:t>
      </w:r>
      <w:proofErr w:type="spellEnd"/>
      <w:r w:rsidRPr="00275FF4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</w:t>
      </w:r>
      <w:proofErr w:type="spellStart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>vienlaikus</w:t>
      </w:r>
      <w:proofErr w:type="spellEnd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>ar</w:t>
      </w:r>
      <w:proofErr w:type="spellEnd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>antibiotiku</w:t>
      </w:r>
      <w:proofErr w:type="spellEnd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>kursu</w:t>
      </w:r>
      <w:proofErr w:type="spellEnd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 xml:space="preserve"> un </w:t>
      </w:r>
      <w:proofErr w:type="spellStart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>dažas</w:t>
      </w:r>
      <w:proofErr w:type="spellEnd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>dienas</w:t>
      </w:r>
      <w:proofErr w:type="spellEnd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>pēc</w:t>
      </w:r>
      <w:proofErr w:type="spellEnd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5FF4">
        <w:rPr>
          <w:rStyle w:val="Izteiksmgs"/>
          <w:rFonts w:ascii="Times New Roman" w:eastAsiaTheme="majorEastAsia" w:hAnsi="Times New Roman" w:cs="Times New Roman"/>
          <w:sz w:val="24"/>
          <w:szCs w:val="24"/>
        </w:rPr>
        <w:t>tā</w:t>
      </w:r>
      <w:proofErr w:type="spellEnd"/>
      <w:r w:rsidR="00A25870">
        <w:rPr>
          <w:rStyle w:val="Izteiksmgs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A25870">
        <w:rPr>
          <w:rFonts w:ascii="Times New Roman" w:hAnsi="Times New Roman" w:cs="Times New Roman"/>
          <w:shd w:val="clear" w:color="auto" w:fill="FFFFFF"/>
          <w:lang w:val="lv-LV"/>
        </w:rPr>
        <w:t>[</w:t>
      </w:r>
      <w:proofErr w:type="spellStart"/>
      <w:r w:rsidR="00A25870" w:rsidRPr="003B65F2">
        <w:rPr>
          <w:rFonts w:ascii="Times New Roman" w:hAnsi="Times New Roman" w:cs="Times New Roman"/>
          <w:color w:val="212121"/>
          <w:shd w:val="clear" w:color="auto" w:fill="FFFFFF"/>
        </w:rPr>
        <w:t>Szajewska</w:t>
      </w:r>
      <w:proofErr w:type="spellEnd"/>
      <w:r w:rsidR="00A25870">
        <w:rPr>
          <w:rFonts w:ascii="Times New Roman" w:hAnsi="Times New Roman" w:cs="Times New Roman"/>
          <w:color w:val="212121"/>
          <w:shd w:val="clear" w:color="auto" w:fill="FFFFFF"/>
        </w:rPr>
        <w:t xml:space="preserve"> et al, 2016; </w:t>
      </w:r>
      <w:proofErr w:type="spellStart"/>
      <w:r w:rsidR="00A25870" w:rsidRPr="003B65F2">
        <w:rPr>
          <w:rFonts w:ascii="Times New Roman" w:hAnsi="Times New Roman" w:cs="Times New Roman"/>
          <w:color w:val="212121"/>
          <w:shd w:val="clear" w:color="auto" w:fill="FFFFFF"/>
        </w:rPr>
        <w:t>Szajewska</w:t>
      </w:r>
      <w:proofErr w:type="spellEnd"/>
      <w:r w:rsidR="00A25870">
        <w:rPr>
          <w:rFonts w:ascii="Times New Roman" w:hAnsi="Times New Roman" w:cs="Times New Roman"/>
          <w:color w:val="212121"/>
          <w:shd w:val="clear" w:color="auto" w:fill="FFFFFF"/>
        </w:rPr>
        <w:t xml:space="preserve"> et al, 2023</w:t>
      </w:r>
      <w:r w:rsidR="00A25870">
        <w:rPr>
          <w:rFonts w:ascii="Times New Roman" w:hAnsi="Times New Roman" w:cs="Times New Roman"/>
          <w:shd w:val="clear" w:color="auto" w:fill="FFFFFF"/>
          <w:lang w:val="lv-LV"/>
        </w:rPr>
        <w:t>]</w:t>
      </w:r>
      <w:r w:rsidRPr="00275FF4">
        <w:rPr>
          <w:rFonts w:ascii="Times New Roman" w:hAnsi="Times New Roman" w:cs="Times New Roman"/>
          <w:sz w:val="24"/>
          <w:szCs w:val="24"/>
        </w:rPr>
        <w:t>.</w:t>
      </w:r>
    </w:p>
    <w:p w14:paraId="20A1B6CC" w14:textId="7C61E957" w:rsidR="005C4959" w:rsidRPr="005C4959" w:rsidRDefault="005C4959" w:rsidP="00391DBE">
      <w:pPr>
        <w:pStyle w:val="Paraststmeklis"/>
        <w:ind w:left="360"/>
      </w:pPr>
      <w:r>
        <w:rPr>
          <w:noProof/>
          <w:lang w:val="lv-LV" w:eastAsia="lv-LV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10FCB6" wp14:editId="0DBE2B5D">
                <wp:simplePos x="0" y="0"/>
                <wp:positionH relativeFrom="column">
                  <wp:posOffset>193675</wp:posOffset>
                </wp:positionH>
                <wp:positionV relativeFrom="paragraph">
                  <wp:posOffset>201930</wp:posOffset>
                </wp:positionV>
                <wp:extent cx="5413375" cy="870585"/>
                <wp:effectExtent l="19050" t="19050" r="15875" b="24765"/>
                <wp:wrapSquare wrapText="bothSides"/>
                <wp:docPr id="10681864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375" cy="8705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50869163" w14:textId="64776A45" w:rsidR="006F3FA4" w:rsidRPr="006F3FA4" w:rsidRDefault="006F3FA4" w:rsidP="006F3FA4">
                            <w:pPr>
                              <w:pStyle w:val="Sarakstarindkopa"/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clear" w:color="auto" w:fill="FFFFFF"/>
                              </w:rPr>
                            </w:pPr>
                            <w:r w:rsidRPr="006F3FA4"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clear" w:color="auto" w:fill="FFFFFF"/>
                              </w:rPr>
                              <w:t xml:space="preserve">Rekomendētie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clear" w:color="auto" w:fill="FFFFFF"/>
                              </w:rPr>
                              <w:t xml:space="preserve">probiotiku </w:t>
                            </w:r>
                            <w:r w:rsidRPr="006F3FA4"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clear" w:color="auto" w:fill="FFFFFF"/>
                              </w:rPr>
                              <w:t>celmi un devas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clear" w:color="auto" w:fill="FFFFFF"/>
                              </w:rPr>
                              <w:t xml:space="preserve"> AIC profilaksei</w:t>
                            </w:r>
                          </w:p>
                          <w:p w14:paraId="28A08614" w14:textId="77777777" w:rsidR="006F3FA4" w:rsidRDefault="006F3FA4" w:rsidP="006F3FA4">
                            <w:pPr>
                              <w:pStyle w:val="Paraststmeklis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rPr>
                                <w:rStyle w:val="Izclums"/>
                                <w:rFonts w:eastAsiaTheme="majorEastAsia"/>
                              </w:rPr>
                              <w:t>Saccharomyces boulardii</w:t>
                            </w:r>
                            <w:r>
                              <w:rPr>
                                <w:rStyle w:val="apple-converted-space"/>
                                <w:rFonts w:eastAsiaTheme="majorEastAsia"/>
                              </w:rPr>
                              <w:t> </w:t>
                            </w:r>
                            <w:r>
                              <w:t>CNCM I-745: 250–500 mg dienā,</w:t>
                            </w:r>
                          </w:p>
                          <w:p w14:paraId="4589C9A5" w14:textId="52098AB1" w:rsidR="006F3FA4" w:rsidRDefault="006F3FA4" w:rsidP="006F3FA4">
                            <w:pPr>
                              <w:pStyle w:val="Paraststmeklis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rPr>
                                <w:rStyle w:val="Izclums"/>
                                <w:rFonts w:eastAsiaTheme="majorEastAsia"/>
                              </w:rPr>
                              <w:t>Lactobacillus rhamnosus</w:t>
                            </w:r>
                            <w:r>
                              <w:rPr>
                                <w:rStyle w:val="apple-converted-space"/>
                                <w:rFonts w:eastAsiaTheme="majorEastAsia"/>
                              </w:rPr>
                              <w:t> </w:t>
                            </w:r>
                            <w:r>
                              <w:t>GG: ≥5×10⁹ KFV dienā</w:t>
                            </w:r>
                          </w:p>
                          <w:p w14:paraId="3E5C3EC0" w14:textId="77777777" w:rsidR="006F3FA4" w:rsidRDefault="006F3FA4" w:rsidP="00921BA2">
                            <w:pPr>
                              <w:pStyle w:val="Paraststmeklis"/>
                              <w:ind w:left="360"/>
                            </w:pPr>
                          </w:p>
                          <w:p w14:paraId="36598A00" w14:textId="28ED9AE6" w:rsidR="005C4959" w:rsidRPr="00921BA2" w:rsidRDefault="005C4959" w:rsidP="00921BA2">
                            <w:pPr>
                              <w:pStyle w:val="Paraststmeklis"/>
                              <w:ind w:left="360"/>
                            </w:pPr>
                            <w:r>
                              <w:t xml:space="preserve"> </w:t>
                            </w:r>
                            <w:r w:rsidRPr="005C4959">
                              <w:t>Šie celmi jālieto</w:t>
                            </w:r>
                            <w:r w:rsidRPr="005C4959">
                              <w:rPr>
                                <w:rStyle w:val="apple-converted-space"/>
                                <w:rFonts w:eastAsiaTheme="majorEastAsia"/>
                              </w:rPr>
                              <w:t> </w:t>
                            </w:r>
                            <w:r w:rsidRPr="005C4959">
                              <w:rPr>
                                <w:rStyle w:val="Izteiksmgs"/>
                                <w:rFonts w:eastAsiaTheme="majorEastAsia"/>
                              </w:rPr>
                              <w:t>vienlaikus ar antibiotiku kursu un dažas dienas pēc tā</w:t>
                            </w:r>
                            <w:r w:rsidRPr="005C4959">
                              <w:t>.</w:t>
                            </w:r>
                            <w:r w:rsidRPr="005C4959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0FCB6" id="Text Box 1" o:spid="_x0000_s1030" type="#_x0000_t202" style="position:absolute;left:0;text-align:left;margin-left:15.25pt;margin-top:15.9pt;width:426.25pt;height:6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" filled="f" strokecolor="#4ea72e [3209]" strokeweight="2.25pt">
                <v:textbox>
                  <w:txbxContent>
                    <w:p w14:paraId="50869163" w14:textId="64776A45" w:rsidR="006F3FA4" w:rsidRPr="006F3FA4" w:rsidRDefault="006F3FA4" w:rsidP="006F3FA4">
                      <w:pPr>
                        <w:pStyle w:val="Sarakstarindkopa"/>
                        <w:rPr>
                          <w:rFonts w:ascii="Times New Roman" w:hAnsi="Times New Roman" w:cs="Times New Roman"/>
                          <w:b/>
                          <w:bCs/>
                          <w:shd w:val="clear" w:color="auto" w:fill="FFFFFF"/>
                        </w:rPr>
                      </w:pPr>
                      <w:r w:rsidRPr="006F3FA4">
                        <w:rPr>
                          <w:rFonts w:ascii="Times New Roman" w:hAnsi="Times New Roman" w:cs="Times New Roman"/>
                          <w:b/>
                          <w:bCs/>
                          <w:shd w:val="clear" w:color="auto" w:fill="FFFFFF"/>
                        </w:rPr>
                        <w:t xml:space="preserve">Rekomendētie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hd w:val="clear" w:color="auto" w:fill="FFFFFF"/>
                        </w:rPr>
                        <w:t xml:space="preserve">probiotiku </w:t>
                      </w:r>
                      <w:r w:rsidRPr="006F3FA4">
                        <w:rPr>
                          <w:rFonts w:ascii="Times New Roman" w:hAnsi="Times New Roman" w:cs="Times New Roman"/>
                          <w:b/>
                          <w:bCs/>
                          <w:shd w:val="clear" w:color="auto" w:fill="FFFFFF"/>
                        </w:rPr>
                        <w:t>celmi un devas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hd w:val="clear" w:color="auto" w:fill="FFFFFF"/>
                        </w:rPr>
                        <w:t xml:space="preserve"> AIC profilaksei</w:t>
                      </w:r>
                    </w:p>
                    <w:p w14:paraId="28A08614" w14:textId="77777777" w:rsidR="006F3FA4" w:rsidRDefault="006F3FA4" w:rsidP="006F3FA4">
                      <w:pPr>
                        <w:pStyle w:val="Paraststmeklis"/>
                        <w:numPr>
                          <w:ilvl w:val="0"/>
                          <w:numId w:val="16"/>
                        </w:numPr>
                      </w:pPr>
                      <w:r>
                        <w:rPr>
                          <w:rStyle w:val="Izclums"/>
                          <w:rFonts w:eastAsiaTheme="majorEastAsia"/>
                        </w:rPr>
                        <w:t>Saccharomyces boulardii</w:t>
                      </w:r>
                      <w:r>
                        <w:rPr>
                          <w:rStyle w:val="apple-converted-space"/>
                          <w:rFonts w:eastAsiaTheme="majorEastAsia"/>
                        </w:rPr>
                        <w:t> </w:t>
                      </w:r>
                      <w:r>
                        <w:t>CNCM I-745: 250–500 mg dienā,</w:t>
                      </w:r>
                    </w:p>
                    <w:p w14:paraId="4589C9A5" w14:textId="52098AB1" w:rsidR="006F3FA4" w:rsidRDefault="006F3FA4" w:rsidP="006F3FA4">
                      <w:pPr>
                        <w:pStyle w:val="Paraststmeklis"/>
                        <w:numPr>
                          <w:ilvl w:val="0"/>
                          <w:numId w:val="16"/>
                        </w:numPr>
                      </w:pPr>
                      <w:r>
                        <w:rPr>
                          <w:rStyle w:val="Izclums"/>
                          <w:rFonts w:eastAsiaTheme="majorEastAsia"/>
                        </w:rPr>
                        <w:t>Lactobacillus rhamnosus</w:t>
                      </w:r>
                      <w:r>
                        <w:rPr>
                          <w:rStyle w:val="apple-converted-space"/>
                          <w:rFonts w:eastAsiaTheme="majorEastAsia"/>
                        </w:rPr>
                        <w:t> </w:t>
                      </w:r>
                      <w:r>
                        <w:t>GG: ≥5×10⁹ KFV dienā</w:t>
                      </w:r>
                    </w:p>
                    <w:p w14:paraId="3E5C3EC0" w14:textId="77777777" w:rsidR="006F3FA4" w:rsidRDefault="006F3FA4" w:rsidP="00921BA2">
                      <w:pPr>
                        <w:pStyle w:val="Paraststmeklis"/>
                        <w:ind w:left="360"/>
                      </w:pPr>
                    </w:p>
                    <w:p w14:paraId="36598A00" w14:textId="28ED9AE6" w:rsidR="005C4959" w:rsidRPr="00921BA2" w:rsidRDefault="005C4959" w:rsidP="00921BA2">
                      <w:pPr>
                        <w:pStyle w:val="Paraststmeklis"/>
                        <w:ind w:left="360"/>
                      </w:pPr>
                      <w:r>
                        <w:t xml:space="preserve"> </w:t>
                      </w:r>
                      <w:r w:rsidRPr="005C4959">
                        <w:t>Šie celmi jālieto</w:t>
                      </w:r>
                      <w:r w:rsidRPr="005C4959">
                        <w:rPr>
                          <w:rStyle w:val="apple-converted-space"/>
                          <w:rFonts w:eastAsiaTheme="majorEastAsia"/>
                        </w:rPr>
                        <w:t> </w:t>
                      </w:r>
                      <w:r w:rsidRPr="005C4959">
                        <w:rPr>
                          <w:rStyle w:val="Izteiksmgs"/>
                          <w:rFonts w:eastAsiaTheme="majorEastAsia"/>
                        </w:rPr>
                        <w:t>vienlaikus ar antibiotiku kursu un dažas dienas pēc tā</w:t>
                      </w:r>
                      <w:r w:rsidRPr="005C4959">
                        <w:t>.</w:t>
                      </w:r>
                      <w:r w:rsidRPr="005C4959"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7209B">
        <w:rPr>
          <w:color w:val="FF0000"/>
          <w:sz w:val="40"/>
          <w:szCs w:val="40"/>
        </w:rPr>
        <w:t>*</w:t>
      </w:r>
      <w:proofErr w:type="spellStart"/>
      <w:r w:rsidRPr="005C4959">
        <w:t>Citu</w:t>
      </w:r>
      <w:proofErr w:type="spellEnd"/>
      <w:r w:rsidRPr="005C4959">
        <w:t xml:space="preserve"> </w:t>
      </w:r>
      <w:proofErr w:type="spellStart"/>
      <w:r w:rsidRPr="005C4959">
        <w:t>celmu</w:t>
      </w:r>
      <w:proofErr w:type="spellEnd"/>
      <w:r w:rsidRPr="005C4959">
        <w:t xml:space="preserve"> (</w:t>
      </w:r>
      <w:proofErr w:type="spellStart"/>
      <w:r w:rsidRPr="005C4959">
        <w:t>piem</w:t>
      </w:r>
      <w:proofErr w:type="spellEnd"/>
      <w:r w:rsidRPr="005C4959">
        <w:t>.,</w:t>
      </w:r>
      <w:r w:rsidRPr="005C4959">
        <w:rPr>
          <w:rStyle w:val="apple-converted-space"/>
          <w:rFonts w:eastAsiaTheme="majorEastAsia"/>
        </w:rPr>
        <w:t> </w:t>
      </w:r>
      <w:r w:rsidRPr="005C4959">
        <w:rPr>
          <w:rStyle w:val="Izclums"/>
          <w:rFonts w:eastAsiaTheme="majorEastAsia"/>
        </w:rPr>
        <w:t>Bifidobacterium</w:t>
      </w:r>
      <w:r w:rsidRPr="005C4959">
        <w:t>,</w:t>
      </w:r>
      <w:r w:rsidRPr="005C4959">
        <w:rPr>
          <w:rStyle w:val="apple-converted-space"/>
          <w:rFonts w:eastAsiaTheme="majorEastAsia"/>
        </w:rPr>
        <w:t> </w:t>
      </w:r>
      <w:r w:rsidRPr="005C4959">
        <w:rPr>
          <w:rStyle w:val="Izclums"/>
          <w:rFonts w:eastAsiaTheme="majorEastAsia"/>
        </w:rPr>
        <w:t>Bacillus</w:t>
      </w:r>
      <w:r w:rsidRPr="005C4959">
        <w:t>,</w:t>
      </w:r>
      <w:r w:rsidRPr="005C4959">
        <w:rPr>
          <w:rStyle w:val="apple-converted-space"/>
          <w:rFonts w:eastAsiaTheme="majorEastAsia"/>
        </w:rPr>
        <w:t> </w:t>
      </w:r>
      <w:r w:rsidRPr="005C4959">
        <w:rPr>
          <w:rStyle w:val="Izclums"/>
          <w:rFonts w:eastAsiaTheme="majorEastAsia"/>
        </w:rPr>
        <w:t xml:space="preserve">Clostridium </w:t>
      </w:r>
      <w:proofErr w:type="spellStart"/>
      <w:r w:rsidRPr="005C4959">
        <w:rPr>
          <w:rStyle w:val="Izclums"/>
          <w:rFonts w:eastAsiaTheme="majorEastAsia"/>
        </w:rPr>
        <w:t>butyricum</w:t>
      </w:r>
      <w:proofErr w:type="spellEnd"/>
      <w:r w:rsidRPr="005C4959">
        <w:t>,</w:t>
      </w:r>
      <w:r w:rsidRPr="005C4959">
        <w:rPr>
          <w:rStyle w:val="apple-converted-space"/>
          <w:rFonts w:eastAsiaTheme="majorEastAsia"/>
        </w:rPr>
        <w:t> </w:t>
      </w:r>
      <w:r w:rsidRPr="005C4959">
        <w:rPr>
          <w:rStyle w:val="Izclums"/>
          <w:rFonts w:eastAsiaTheme="majorEastAsia"/>
        </w:rPr>
        <w:t>Lactococcus</w:t>
      </w:r>
      <w:r w:rsidRPr="005C4959">
        <w:t>,</w:t>
      </w:r>
      <w:r w:rsidRPr="005C4959">
        <w:rPr>
          <w:rStyle w:val="apple-converted-space"/>
          <w:rFonts w:eastAsiaTheme="majorEastAsia"/>
        </w:rPr>
        <w:t> </w:t>
      </w:r>
      <w:proofErr w:type="spellStart"/>
      <w:r w:rsidRPr="005C4959">
        <w:rPr>
          <w:rStyle w:val="Izclums"/>
          <w:rFonts w:eastAsiaTheme="majorEastAsia"/>
        </w:rPr>
        <w:t>Leuconostoc</w:t>
      </w:r>
      <w:proofErr w:type="spellEnd"/>
      <w:r w:rsidRPr="005C4959">
        <w:t>,</w:t>
      </w:r>
      <w:r w:rsidRPr="005C4959">
        <w:rPr>
          <w:rStyle w:val="apple-converted-space"/>
          <w:rFonts w:eastAsiaTheme="majorEastAsia"/>
        </w:rPr>
        <w:t> </w:t>
      </w:r>
      <w:r w:rsidRPr="005C4959">
        <w:rPr>
          <w:rStyle w:val="Izclums"/>
          <w:rFonts w:eastAsiaTheme="majorEastAsia"/>
        </w:rPr>
        <w:t>Streptococcus</w:t>
      </w:r>
      <w:r w:rsidRPr="005C4959">
        <w:t xml:space="preserve">) </w:t>
      </w:r>
      <w:proofErr w:type="spellStart"/>
      <w:r w:rsidRPr="005C4959">
        <w:t>efektivitāte</w:t>
      </w:r>
      <w:proofErr w:type="spellEnd"/>
      <w:r w:rsidRPr="005C4959">
        <w:t xml:space="preserve"> </w:t>
      </w:r>
      <w:proofErr w:type="spellStart"/>
      <w:r w:rsidRPr="005C4959">
        <w:t>bērniem</w:t>
      </w:r>
      <w:proofErr w:type="spellEnd"/>
      <w:r w:rsidRPr="005C4959">
        <w:t xml:space="preserve"> </w:t>
      </w:r>
      <w:proofErr w:type="spellStart"/>
      <w:r w:rsidRPr="005C4959">
        <w:t>vēl</w:t>
      </w:r>
      <w:proofErr w:type="spellEnd"/>
      <w:r w:rsidRPr="005C4959">
        <w:t xml:space="preserve"> nav </w:t>
      </w:r>
      <w:proofErr w:type="spellStart"/>
      <w:r w:rsidRPr="005C4959">
        <w:t>pietiekami</w:t>
      </w:r>
      <w:proofErr w:type="spellEnd"/>
      <w:r w:rsidRPr="005C4959">
        <w:t xml:space="preserve"> </w:t>
      </w:r>
      <w:proofErr w:type="spellStart"/>
      <w:r w:rsidRPr="005C4959">
        <w:t>pierādīta</w:t>
      </w:r>
      <w:proofErr w:type="spellEnd"/>
      <w:r w:rsidRPr="005C4959">
        <w:t xml:space="preserve">, lai </w:t>
      </w:r>
      <w:proofErr w:type="spellStart"/>
      <w:r w:rsidRPr="005C4959">
        <w:t>tos</w:t>
      </w:r>
      <w:proofErr w:type="spellEnd"/>
      <w:r w:rsidRPr="005C4959">
        <w:t xml:space="preserve"> </w:t>
      </w:r>
      <w:proofErr w:type="spellStart"/>
      <w:r w:rsidRPr="005C4959">
        <w:t>ieteiktu</w:t>
      </w:r>
      <w:proofErr w:type="spellEnd"/>
      <w:r w:rsidRPr="005C4959">
        <w:t xml:space="preserve"> </w:t>
      </w:r>
      <w:proofErr w:type="spellStart"/>
      <w:r w:rsidRPr="005C4959">
        <w:t>rutīnas</w:t>
      </w:r>
      <w:proofErr w:type="spellEnd"/>
      <w:r w:rsidRPr="005C4959">
        <w:t xml:space="preserve"> </w:t>
      </w:r>
      <w:proofErr w:type="spellStart"/>
      <w:r w:rsidRPr="005C4959">
        <w:t>lietošanai</w:t>
      </w:r>
      <w:proofErr w:type="spellEnd"/>
      <w:r w:rsidRPr="005C4959">
        <w:t>.</w:t>
      </w:r>
    </w:p>
    <w:p w14:paraId="154EA836" w14:textId="77777777" w:rsidR="00A7209B" w:rsidRDefault="00A7209B" w:rsidP="00A7209B">
      <w:pPr>
        <w:pStyle w:val="Paraststmeklis"/>
        <w:rPr>
          <w:color w:val="000000"/>
        </w:rPr>
      </w:pPr>
      <w:bookmarkStart w:id="34" w:name="_Toc206573740"/>
      <w:bookmarkStart w:id="35" w:name="_Toc210136832"/>
      <w:proofErr w:type="spellStart"/>
      <w:r w:rsidRPr="00570F03">
        <w:rPr>
          <w:rStyle w:val="Izteiksmgs"/>
          <w:rFonts w:eastAsiaTheme="majorEastAsia"/>
          <w:color w:val="000000"/>
          <w:u w:val="single"/>
        </w:rPr>
        <w:t>Kontrindikācijas</w:t>
      </w:r>
      <w:proofErr w:type="spellEnd"/>
      <w:r w:rsidRPr="00570F03">
        <w:rPr>
          <w:rStyle w:val="Izteiksmgs"/>
          <w:rFonts w:eastAsiaTheme="majorEastAsia"/>
          <w:color w:val="000000"/>
          <w:u w:val="single"/>
        </w:rPr>
        <w:t xml:space="preserve"> </w:t>
      </w:r>
      <w:proofErr w:type="spellStart"/>
      <w:r w:rsidRPr="00570F03">
        <w:rPr>
          <w:rStyle w:val="Izteiksmgs"/>
          <w:rFonts w:eastAsiaTheme="majorEastAsia"/>
          <w:color w:val="000000"/>
          <w:u w:val="single"/>
        </w:rPr>
        <w:t>probiotiku</w:t>
      </w:r>
      <w:proofErr w:type="spellEnd"/>
      <w:r w:rsidRPr="00570F03">
        <w:rPr>
          <w:rStyle w:val="Izteiksmgs"/>
          <w:rFonts w:eastAsiaTheme="majorEastAsia"/>
          <w:color w:val="000000"/>
          <w:u w:val="single"/>
        </w:rPr>
        <w:t xml:space="preserve"> </w:t>
      </w:r>
      <w:proofErr w:type="spellStart"/>
      <w:r w:rsidRPr="00570F03">
        <w:rPr>
          <w:rStyle w:val="Izteiksmgs"/>
          <w:rFonts w:eastAsiaTheme="majorEastAsia"/>
          <w:color w:val="000000"/>
          <w:u w:val="single"/>
        </w:rPr>
        <w:t>lietošanai</w:t>
      </w:r>
      <w:proofErr w:type="spellEnd"/>
      <w:r w:rsidRPr="00570F03">
        <w:rPr>
          <w:color w:val="000000"/>
          <w:u w:val="single"/>
        </w:rPr>
        <w:br/>
      </w:r>
      <w:proofErr w:type="spellStart"/>
      <w:r>
        <w:rPr>
          <w:color w:val="000000"/>
        </w:rPr>
        <w:t>Probiotikas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nedrīkst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lietot</w:t>
      </w:r>
      <w:proofErr w:type="spellEnd"/>
      <w:r>
        <w:rPr>
          <w:color w:val="000000"/>
        </w:rPr>
        <w:t>:</w:t>
      </w:r>
    </w:p>
    <w:p w14:paraId="0597E395" w14:textId="77777777" w:rsidR="00A7209B" w:rsidRDefault="00A7209B" w:rsidP="00A7209B">
      <w:pPr>
        <w:pStyle w:val="Paraststmeklis"/>
        <w:numPr>
          <w:ilvl w:val="0"/>
          <w:numId w:val="29"/>
        </w:numPr>
        <w:rPr>
          <w:color w:val="000000"/>
        </w:rPr>
      </w:pPr>
      <w:proofErr w:type="spellStart"/>
      <w:r>
        <w:rPr>
          <w:color w:val="000000"/>
        </w:rPr>
        <w:t>bērniem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imūnsupresiju</w:t>
      </w:r>
      <w:proofErr w:type="spellEnd"/>
      <w:r>
        <w:rPr>
          <w:color w:val="000000"/>
        </w:rPr>
        <w:t>,</w:t>
      </w:r>
    </w:p>
    <w:p w14:paraId="2F0274F1" w14:textId="77777777" w:rsidR="00A7209B" w:rsidRDefault="00A7209B" w:rsidP="00A7209B">
      <w:pPr>
        <w:pStyle w:val="Paraststmeklis"/>
        <w:numPr>
          <w:ilvl w:val="0"/>
          <w:numId w:val="29"/>
        </w:numPr>
        <w:rPr>
          <w:color w:val="000000"/>
        </w:rPr>
      </w:pPr>
      <w:proofErr w:type="spellStart"/>
      <w:r>
        <w:rPr>
          <w:color w:val="000000"/>
        </w:rPr>
        <w:t>priekšlaikus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dzimušiem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bērniem</w:t>
      </w:r>
      <w:proofErr w:type="spellEnd"/>
      <w:r>
        <w:rPr>
          <w:color w:val="000000"/>
        </w:rPr>
        <w:t>,</w:t>
      </w:r>
    </w:p>
    <w:p w14:paraId="0C4D02AB" w14:textId="77777777" w:rsidR="00A7209B" w:rsidRDefault="00A7209B" w:rsidP="00A7209B">
      <w:pPr>
        <w:pStyle w:val="Paraststmeklis"/>
        <w:numPr>
          <w:ilvl w:val="0"/>
          <w:numId w:val="29"/>
        </w:numPr>
        <w:rPr>
          <w:color w:val="000000"/>
        </w:rPr>
      </w:pPr>
      <w:proofErr w:type="spellStart"/>
      <w:r>
        <w:rPr>
          <w:color w:val="000000"/>
        </w:rPr>
        <w:t>kritiski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slimiem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bērniem</w:t>
      </w:r>
      <w:proofErr w:type="spellEnd"/>
      <w:r>
        <w:rPr>
          <w:color w:val="000000"/>
        </w:rPr>
        <w:t>,</w:t>
      </w:r>
    </w:p>
    <w:p w14:paraId="016C07AF" w14:textId="77777777" w:rsidR="00A7209B" w:rsidRDefault="00A7209B" w:rsidP="00A7209B">
      <w:pPr>
        <w:pStyle w:val="Paraststmeklis"/>
        <w:numPr>
          <w:ilvl w:val="0"/>
          <w:numId w:val="29"/>
        </w:numPr>
        <w:rPr>
          <w:color w:val="000000"/>
        </w:rPr>
      </w:pPr>
      <w:proofErr w:type="spellStart"/>
      <w:r>
        <w:rPr>
          <w:color w:val="000000"/>
        </w:rPr>
        <w:t>bērniem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strukturālu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sirds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slimību</w:t>
      </w:r>
      <w:proofErr w:type="spellEnd"/>
      <w:r>
        <w:rPr>
          <w:color w:val="000000"/>
        </w:rPr>
        <w:t>,</w:t>
      </w:r>
    </w:p>
    <w:p w14:paraId="286F6279" w14:textId="6EC53707" w:rsidR="00A7209B" w:rsidRDefault="00A7209B" w:rsidP="00A7209B">
      <w:pPr>
        <w:pStyle w:val="Paraststmeklis"/>
        <w:numPr>
          <w:ilvl w:val="0"/>
          <w:numId w:val="29"/>
        </w:numPr>
        <w:rPr>
          <w:color w:val="000000"/>
        </w:rPr>
      </w:pPr>
      <w:proofErr w:type="spellStart"/>
      <w:r>
        <w:rPr>
          <w:color w:val="000000"/>
        </w:rPr>
        <w:t>pacientiem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centrālu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venozo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katetru</w:t>
      </w:r>
      <w:proofErr w:type="spellEnd"/>
      <w:r>
        <w:rPr>
          <w:color w:val="000000"/>
        </w:rPr>
        <w:t>,</w:t>
      </w:r>
      <w:r w:rsidR="00F76B78">
        <w:rPr>
          <w:color w:val="000000"/>
        </w:rPr>
        <w:t xml:space="preserve"> </w:t>
      </w:r>
      <w:r>
        <w:rPr>
          <w:color w:val="000000"/>
        </w:rPr>
        <w:t xml:space="preserve">jo </w:t>
      </w:r>
      <w:proofErr w:type="spellStart"/>
      <w:r>
        <w:rPr>
          <w:color w:val="000000"/>
        </w:rPr>
        <w:t>pastāv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Izteiksmgs"/>
          <w:rFonts w:eastAsiaTheme="majorEastAsia"/>
          <w:color w:val="000000"/>
        </w:rPr>
        <w:t>probiotiku</w:t>
      </w:r>
      <w:proofErr w:type="spellEnd"/>
      <w:r>
        <w:rPr>
          <w:rStyle w:val="Izteiksmgs"/>
          <w:rFonts w:eastAsiaTheme="majorEastAsia"/>
          <w:color w:val="000000"/>
        </w:rPr>
        <w:t xml:space="preserve"> </w:t>
      </w:r>
      <w:proofErr w:type="spellStart"/>
      <w:r>
        <w:rPr>
          <w:rStyle w:val="Izteiksmgs"/>
          <w:rFonts w:eastAsiaTheme="majorEastAsia"/>
          <w:color w:val="000000"/>
        </w:rPr>
        <w:t>translokācijas</w:t>
      </w:r>
      <w:proofErr w:type="spellEnd"/>
      <w:r>
        <w:rPr>
          <w:rStyle w:val="Izteiksmgs"/>
          <w:rFonts w:eastAsiaTheme="majorEastAsia"/>
          <w:color w:val="000000"/>
        </w:rPr>
        <w:t xml:space="preserve"> un </w:t>
      </w:r>
      <w:proofErr w:type="spellStart"/>
      <w:r>
        <w:rPr>
          <w:rStyle w:val="Izteiksmgs"/>
          <w:rFonts w:eastAsiaTheme="majorEastAsia"/>
          <w:color w:val="000000"/>
        </w:rPr>
        <w:t>infekcijas</w:t>
      </w:r>
      <w:proofErr w:type="spellEnd"/>
      <w:r>
        <w:rPr>
          <w:rStyle w:val="Izteiksmgs"/>
          <w:rFonts w:eastAsiaTheme="majorEastAsia"/>
          <w:color w:val="000000"/>
        </w:rPr>
        <w:t xml:space="preserve"> risks</w:t>
      </w:r>
      <w:r>
        <w:rPr>
          <w:color w:val="000000"/>
        </w:rPr>
        <w:t>.</w:t>
      </w:r>
    </w:p>
    <w:p w14:paraId="78E15174" w14:textId="7F76AE6F" w:rsidR="005B5CD6" w:rsidRPr="004F5261" w:rsidRDefault="00F76B78" w:rsidP="00993857">
      <w:pPr>
        <w:pStyle w:val="Virsraksts2"/>
        <w:rPr>
          <w:rFonts w:ascii="Times New Roman" w:hAnsi="Times New Roman" w:cs="Times New Roman"/>
          <w:shd w:val="clear" w:color="auto" w:fill="FFFFFF"/>
          <w:lang w:val="lv-LV"/>
        </w:rPr>
      </w:pPr>
      <w:bookmarkStart w:id="36" w:name="_Toc214625086"/>
      <w:r>
        <w:rPr>
          <w:rFonts w:ascii="Times New Roman" w:hAnsi="Times New Roman" w:cs="Times New Roman"/>
          <w:shd w:val="clear" w:color="auto" w:fill="FFFFFF"/>
          <w:lang w:val="lv-LV"/>
        </w:rPr>
        <w:t xml:space="preserve">Secinājumi - </w:t>
      </w:r>
      <w:r w:rsidR="00993857" w:rsidRPr="004F5261">
        <w:rPr>
          <w:rFonts w:ascii="Times New Roman" w:hAnsi="Times New Roman" w:cs="Times New Roman"/>
          <w:shd w:val="clear" w:color="auto" w:fill="FFFFFF"/>
          <w:lang w:val="lv-LV"/>
        </w:rPr>
        <w:t>ieteikum</w:t>
      </w:r>
      <w:r>
        <w:rPr>
          <w:rFonts w:ascii="Times New Roman" w:hAnsi="Times New Roman" w:cs="Times New Roman"/>
          <w:shd w:val="clear" w:color="auto" w:fill="FFFFFF"/>
          <w:lang w:val="lv-LV"/>
        </w:rPr>
        <w:t>i</w:t>
      </w:r>
      <w:r w:rsidR="00993857" w:rsidRPr="004F5261">
        <w:rPr>
          <w:rFonts w:ascii="Times New Roman" w:hAnsi="Times New Roman" w:cs="Times New Roman"/>
          <w:shd w:val="clear" w:color="auto" w:fill="FFFFFF"/>
          <w:lang w:val="lv-LV"/>
        </w:rPr>
        <w:t xml:space="preserve"> </w:t>
      </w:r>
      <w:r w:rsidR="00F1743B">
        <w:rPr>
          <w:rFonts w:ascii="Times New Roman" w:hAnsi="Times New Roman" w:cs="Times New Roman"/>
          <w:shd w:val="clear" w:color="auto" w:fill="FFFFFF"/>
          <w:lang w:val="lv-LV"/>
        </w:rPr>
        <w:t>antibiotiku izraisītas caurejas</w:t>
      </w:r>
      <w:r w:rsidR="00993857" w:rsidRPr="004F5261">
        <w:rPr>
          <w:rFonts w:ascii="Times New Roman" w:hAnsi="Times New Roman" w:cs="Times New Roman"/>
          <w:shd w:val="clear" w:color="auto" w:fill="FFFFFF"/>
          <w:lang w:val="lv-LV"/>
        </w:rPr>
        <w:t xml:space="preserve"> profilaksei</w:t>
      </w:r>
      <w:bookmarkEnd w:id="34"/>
      <w:bookmarkEnd w:id="35"/>
      <w:bookmarkEnd w:id="36"/>
    </w:p>
    <w:p w14:paraId="11717E95" w14:textId="4476BEF3" w:rsidR="00A07571" w:rsidRPr="00A53AC6" w:rsidRDefault="00A7209B" w:rsidP="001A607C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Antibiotiku terapiju nozīmēt </w:t>
      </w:r>
      <w:r w:rsidRPr="00A7209B"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  <w:t>tikai atbilstoši indikācijām</w:t>
      </w: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, izvairoties no nepamatotas </w:t>
      </w:r>
      <w:r w:rsidR="00275FF4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antibiotiku </w:t>
      </w: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lietošanas.</w:t>
      </w:r>
    </w:p>
    <w:p w14:paraId="0E0F831E" w14:textId="22495C26" w:rsidR="00A7209B" w:rsidRDefault="00A7209B" w:rsidP="00852904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A7209B"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  <w:t>Plaša spektra antibiotikas</w:t>
      </w: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 lietot tikai tad, ja nav iespējama ārstēšana ar šaurāka spektra preparātiem.</w:t>
      </w:r>
    </w:p>
    <w:p w14:paraId="04FD2967" w14:textId="6DE054A0" w:rsidR="00A7209B" w:rsidRPr="00A7209B" w:rsidRDefault="00A7209B" w:rsidP="00852904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proofErr w:type="spellStart"/>
      <w:r w:rsidRPr="00A7209B"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  <w:t>Probiotikas</w:t>
      </w:r>
      <w:proofErr w:type="spellEnd"/>
      <w:r w:rsidRPr="00A7209B"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  <w:t xml:space="preserve"> indicētas</w:t>
      </w: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 AIC profilaksei bērniem ar paaugstinātu risku: pirmsskolas vecuma bērniem, bērniem ar </w:t>
      </w:r>
      <w:proofErr w:type="spellStart"/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blakusslimībām</w:t>
      </w:r>
      <w:proofErr w:type="spellEnd"/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, AIC anamnēzē vai plaša spektra antibiotiku terapijas laikā.</w:t>
      </w:r>
    </w:p>
    <w:p w14:paraId="747A9671" w14:textId="77777777" w:rsidR="00275FF4" w:rsidRPr="00275FF4" w:rsidRDefault="00275FF4" w:rsidP="00852904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391DBE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Nav specifisku rekomendāciju </w:t>
      </w:r>
      <w:proofErr w:type="spellStart"/>
      <w:r w:rsidRPr="005C4959">
        <w:rPr>
          <w:rFonts w:ascii="Times New Roman" w:hAnsi="Times New Roman" w:cs="Times New Roman"/>
          <w:shd w:val="clear" w:color="auto" w:fill="FFFFFF"/>
          <w:lang w:val="lv-LV"/>
        </w:rPr>
        <w:t>probiotik</w:t>
      </w:r>
      <w:r>
        <w:rPr>
          <w:rFonts w:ascii="Times New Roman" w:hAnsi="Times New Roman" w:cs="Times New Roman"/>
          <w:shd w:val="clear" w:color="auto" w:fill="FFFFFF"/>
          <w:lang w:val="lv-LV"/>
        </w:rPr>
        <w:t>u</w:t>
      </w:r>
      <w:proofErr w:type="spellEnd"/>
      <w:r>
        <w:rPr>
          <w:rFonts w:ascii="Times New Roman" w:hAnsi="Times New Roman" w:cs="Times New Roman"/>
          <w:shd w:val="clear" w:color="auto" w:fill="FFFFFF"/>
          <w:lang w:val="lv-LV"/>
        </w:rPr>
        <w:t xml:space="preserve"> lietošanai </w:t>
      </w:r>
      <w:r w:rsidRPr="005C4959">
        <w:rPr>
          <w:rFonts w:ascii="Times New Roman" w:hAnsi="Times New Roman" w:cs="Times New Roman"/>
          <w:shd w:val="clear" w:color="auto" w:fill="FFFFFF"/>
          <w:lang w:val="lv-LV"/>
        </w:rPr>
        <w:t>kopējā bērnu populācijā</w:t>
      </w:r>
      <w:r>
        <w:rPr>
          <w:rFonts w:ascii="Times New Roman" w:hAnsi="Times New Roman" w:cs="Times New Roman"/>
          <w:shd w:val="clear" w:color="auto" w:fill="FFFFFF"/>
          <w:lang w:val="lv-LV"/>
        </w:rPr>
        <w:t xml:space="preserve">, bet dati liecina, ka </w:t>
      </w:r>
      <w:proofErr w:type="spellStart"/>
      <w:r>
        <w:rPr>
          <w:rFonts w:ascii="Times New Roman" w:hAnsi="Times New Roman" w:cs="Times New Roman"/>
          <w:shd w:val="clear" w:color="auto" w:fill="FFFFFF"/>
          <w:lang w:val="lv-LV"/>
        </w:rPr>
        <w:t>probiotikas</w:t>
      </w:r>
      <w:proofErr w:type="spellEnd"/>
      <w:r w:rsidRPr="00391DBE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 </w:t>
      </w:r>
      <w:r w:rsidRPr="005C4959">
        <w:rPr>
          <w:rFonts w:ascii="Times New Roman" w:hAnsi="Times New Roman" w:cs="Times New Roman"/>
          <w:shd w:val="clear" w:color="auto" w:fill="FFFFFF"/>
          <w:lang w:val="lv-LV"/>
        </w:rPr>
        <w:t xml:space="preserve">samazina arī AIC attīstības risku </w:t>
      </w:r>
      <w:r>
        <w:rPr>
          <w:rFonts w:ascii="Times New Roman" w:hAnsi="Times New Roman" w:cs="Times New Roman"/>
          <w:shd w:val="clear" w:color="auto" w:fill="FFFFFF"/>
          <w:lang w:val="lv-LV"/>
        </w:rPr>
        <w:t>arī šajā populācijā.</w:t>
      </w:r>
    </w:p>
    <w:p w14:paraId="495DC2C0" w14:textId="314E6B62" w:rsidR="00A7209B" w:rsidRPr="00A7209B" w:rsidRDefault="00A7209B" w:rsidP="00852904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Lietot tikai </w:t>
      </w:r>
      <w:r w:rsidRPr="00A7209B"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  <w:t>celmus ar pierādītu efektivitāti</w:t>
      </w: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 </w:t>
      </w:r>
      <w:proofErr w:type="spellStart"/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randomizētos</w:t>
      </w:r>
      <w:proofErr w:type="spellEnd"/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 kontrolētos pētījumos: </w:t>
      </w:r>
      <w:proofErr w:type="spellStart"/>
      <w:r w:rsidRPr="00A7209B">
        <w:rPr>
          <w:rFonts w:ascii="Times New Roman" w:hAnsi="Times New Roman" w:cs="Times New Roman"/>
          <w:i/>
          <w:iCs/>
          <w:color w:val="212121"/>
          <w:shd w:val="clear" w:color="auto" w:fill="FFFFFF"/>
          <w:lang w:val="lv-LV"/>
        </w:rPr>
        <w:t>Lactobacillus</w:t>
      </w:r>
      <w:proofErr w:type="spellEnd"/>
      <w:r w:rsidRPr="00A7209B">
        <w:rPr>
          <w:rFonts w:ascii="Times New Roman" w:hAnsi="Times New Roman" w:cs="Times New Roman"/>
          <w:i/>
          <w:iCs/>
          <w:color w:val="212121"/>
          <w:shd w:val="clear" w:color="auto" w:fill="FFFFFF"/>
          <w:lang w:val="lv-LV"/>
        </w:rPr>
        <w:t xml:space="preserve"> </w:t>
      </w:r>
      <w:proofErr w:type="spellStart"/>
      <w:r w:rsidRPr="00A7209B">
        <w:rPr>
          <w:rFonts w:ascii="Times New Roman" w:hAnsi="Times New Roman" w:cs="Times New Roman"/>
          <w:i/>
          <w:iCs/>
          <w:color w:val="212121"/>
          <w:shd w:val="clear" w:color="auto" w:fill="FFFFFF"/>
          <w:lang w:val="lv-LV"/>
        </w:rPr>
        <w:t>rhamnosus</w:t>
      </w:r>
      <w:proofErr w:type="spellEnd"/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 GG un </w:t>
      </w:r>
      <w:proofErr w:type="spellStart"/>
      <w:r w:rsidRPr="00A7209B">
        <w:rPr>
          <w:rFonts w:ascii="Times New Roman" w:hAnsi="Times New Roman" w:cs="Times New Roman"/>
          <w:i/>
          <w:iCs/>
          <w:color w:val="212121"/>
          <w:shd w:val="clear" w:color="auto" w:fill="FFFFFF"/>
          <w:lang w:val="lv-LV"/>
        </w:rPr>
        <w:t>Saccharomyces</w:t>
      </w:r>
      <w:proofErr w:type="spellEnd"/>
      <w:r w:rsidRPr="00A7209B">
        <w:rPr>
          <w:rFonts w:ascii="Times New Roman" w:hAnsi="Times New Roman" w:cs="Times New Roman"/>
          <w:i/>
          <w:iCs/>
          <w:color w:val="212121"/>
          <w:shd w:val="clear" w:color="auto" w:fill="FFFFFF"/>
          <w:lang w:val="lv-LV"/>
        </w:rPr>
        <w:t xml:space="preserve"> </w:t>
      </w:r>
      <w:proofErr w:type="spellStart"/>
      <w:r w:rsidRPr="00A7209B">
        <w:rPr>
          <w:rFonts w:ascii="Times New Roman" w:hAnsi="Times New Roman" w:cs="Times New Roman"/>
          <w:i/>
          <w:iCs/>
          <w:color w:val="212121"/>
          <w:shd w:val="clear" w:color="auto" w:fill="FFFFFF"/>
          <w:lang w:val="lv-LV"/>
        </w:rPr>
        <w:t>boulardii</w:t>
      </w:r>
      <w:proofErr w:type="spellEnd"/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 CNCM I-745.</w:t>
      </w:r>
    </w:p>
    <w:p w14:paraId="40ED99F0" w14:textId="30BCA086" w:rsidR="00A7209B" w:rsidRDefault="00A7209B" w:rsidP="00852904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A7209B"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  <w:t>Deva:</w:t>
      </w: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 profilaksei ieteicamas augstas devas (≥5×10⁹ KVV dienā vai 250–500 mg/dienā atbilstoši celmam).</w:t>
      </w:r>
    </w:p>
    <w:p w14:paraId="42CF3E57" w14:textId="76AC4C81" w:rsidR="000F193C" w:rsidRPr="00A7209B" w:rsidRDefault="00A7209B" w:rsidP="00EF6F7A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Vienmēr ņemt vērā </w:t>
      </w:r>
      <w:r w:rsidRPr="00A7209B">
        <w:rPr>
          <w:rFonts w:ascii="Times New Roman" w:hAnsi="Times New Roman" w:cs="Times New Roman"/>
          <w:b/>
          <w:bCs/>
          <w:color w:val="212121"/>
          <w:shd w:val="clear" w:color="auto" w:fill="FFFFFF"/>
          <w:lang w:val="lv-LV"/>
        </w:rPr>
        <w:t>drošības riskus</w:t>
      </w: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: </w:t>
      </w:r>
      <w:proofErr w:type="spellStart"/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probiotikas</w:t>
      </w:r>
      <w:proofErr w:type="spellEnd"/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 nav ieteicamas priekšlaikus dzimušiem bērniem, </w:t>
      </w:r>
      <w:r w:rsidR="00191531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kā arī pacientiem ar </w:t>
      </w:r>
      <w:proofErr w:type="spellStart"/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imūnsupresij</w:t>
      </w:r>
      <w:r w:rsidR="00191531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u</w:t>
      </w:r>
      <w:proofErr w:type="spellEnd"/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, kritisk</w:t>
      </w:r>
      <w:r w:rsidR="00191531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u</w:t>
      </w: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 slimīb</w:t>
      </w:r>
      <w:r w:rsidR="00191531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u</w:t>
      </w: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 vai centrāl</w:t>
      </w:r>
      <w:r w:rsidR="00191531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u</w:t>
      </w: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 venoz</w:t>
      </w:r>
      <w:r w:rsidR="00191531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o</w:t>
      </w: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 xml:space="preserve"> katetr</w:t>
      </w:r>
      <w:r w:rsidR="00191531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u</w:t>
      </w:r>
      <w:r w:rsidRPr="00A7209B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.</w:t>
      </w:r>
    </w:p>
    <w:p w14:paraId="737F1A63" w14:textId="77777777" w:rsidR="00DA7BDD" w:rsidRDefault="00DA7BDD">
      <w:pPr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shd w:val="clear" w:color="auto" w:fill="FFFFFF"/>
          <w:lang w:val="lv-LV"/>
        </w:rPr>
      </w:pPr>
      <w:r>
        <w:rPr>
          <w:rFonts w:ascii="Times New Roman" w:hAnsi="Times New Roman" w:cs="Times New Roman"/>
          <w:shd w:val="clear" w:color="auto" w:fill="FFFFFF"/>
          <w:lang w:val="lv-LV"/>
        </w:rPr>
        <w:br w:type="page"/>
      </w:r>
    </w:p>
    <w:p w14:paraId="14673718" w14:textId="126623FB" w:rsidR="00852904" w:rsidRPr="000F193C" w:rsidRDefault="00A07571" w:rsidP="000F193C">
      <w:pPr>
        <w:pStyle w:val="Virsraksts2"/>
        <w:rPr>
          <w:rFonts w:ascii="Times New Roman" w:hAnsi="Times New Roman" w:cs="Times New Roman"/>
          <w:shd w:val="clear" w:color="auto" w:fill="FFFFFF"/>
          <w:lang w:val="lv-LV"/>
        </w:rPr>
      </w:pPr>
      <w:bookmarkStart w:id="37" w:name="_Toc214625087"/>
      <w:r w:rsidRPr="000F193C">
        <w:rPr>
          <w:rFonts w:ascii="Times New Roman" w:hAnsi="Times New Roman" w:cs="Times New Roman"/>
          <w:shd w:val="clear" w:color="auto" w:fill="FFFFFF"/>
          <w:lang w:val="lv-LV"/>
        </w:rPr>
        <w:lastRenderedPageBreak/>
        <w:t>Atsauces</w:t>
      </w:r>
      <w:bookmarkEnd w:id="37"/>
    </w:p>
    <w:p w14:paraId="7207C91C" w14:textId="4F7C956E" w:rsidR="000F193C" w:rsidRPr="003B65F2" w:rsidRDefault="000F193C" w:rsidP="000F193C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</w:rPr>
        <w:t>Agus, A., Clément, K., &amp; Sokol, H. (2021). Gut microbiota-derived metabolites as central regulators in metabolic disorders. In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Gut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 (Vol. 70, Issue 6). </w:t>
      </w:r>
      <w:hyperlink r:id="rId9" w:history="1">
        <w:r w:rsidR="00EA0DA3" w:rsidRPr="003B65F2">
          <w:rPr>
            <w:rStyle w:val="Hipersaite"/>
            <w:rFonts w:ascii="Times New Roman" w:hAnsi="Times New Roman" w:cs="Times New Roman"/>
            <w:shd w:val="clear" w:color="auto" w:fill="FFFFFF"/>
          </w:rPr>
          <w:t>https://doi.org/10.1136/gutjnl-2020-323071</w:t>
        </w:r>
      </w:hyperlink>
    </w:p>
    <w:p w14:paraId="53398D03" w14:textId="0793FBEA" w:rsidR="00EA0DA3" w:rsidRPr="003B65F2" w:rsidRDefault="00707765" w:rsidP="00F553AC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</w:rPr>
        <w:t>Duong, Q. A., Pittet, L. F., Curtis, N., &amp; Zimmermann, P. (2022). Antibiotic exposure and adverse long-term health outcomes in children: A systematic review and meta-analysis. In Journal of Infection (Vol. 85, Issue 3).</w:t>
      </w:r>
      <w:r w:rsidR="00F553AC"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F553AC" w:rsidRPr="003B65F2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DOI: </w:t>
      </w:r>
      <w:hyperlink r:id="rId10" w:tgtFrame="_blank" w:history="1">
        <w:r w:rsidR="00F553AC" w:rsidRPr="003B65F2">
          <w:rPr>
            <w:rStyle w:val="Hipersaite"/>
            <w:rFonts w:ascii="Times New Roman" w:hAnsi="Times New Roman" w:cs="Times New Roman"/>
            <w:shd w:val="clear" w:color="auto" w:fill="FFFFFF"/>
            <w:lang w:val="lv-LV"/>
          </w:rPr>
          <w:t>10.1016/j.jinf.2022.01.005</w:t>
        </w:r>
      </w:hyperlink>
    </w:p>
    <w:p w14:paraId="5FF7B93C" w14:textId="7B52B9E9" w:rsidR="00172C80" w:rsidRPr="003B65F2" w:rsidRDefault="00172C80" w:rsidP="000F193C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</w:rPr>
      </w:pP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Gudrā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L,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Bļinkova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Ē, et al.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Alterations in Gut Microbiota After Antibacterial Treatment Due to Concomitant Disease Among Ambulatory Children.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 Proc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Latv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Acad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Sci. Sect B. 2025;79(1):45-56.</w:t>
      </w:r>
    </w:p>
    <w:p w14:paraId="3DBF0114" w14:textId="070154FE" w:rsidR="003B65F2" w:rsidRPr="003B65F2" w:rsidRDefault="003B65F2" w:rsidP="00DB176B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</w:rPr>
      </w:pPr>
      <w:r w:rsidRPr="003B65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Guo Q, Goldenberg JZ, Humphrey C, El Dib R, Johnston BC. Probiotics for the prevention of pediatric antibiotic-associated diarrhea. Cochrane Database Syst Rev. 2019 Apr 30;4(4):CD004827. </w:t>
      </w:r>
      <w:proofErr w:type="spellStart"/>
      <w:r w:rsidRPr="003B65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doi</w:t>
      </w:r>
      <w:proofErr w:type="spellEnd"/>
      <w:r w:rsidRPr="003B65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: 10.1002/14651858.CD004827.pub5. PMID: 31039287; PMCID: PMC6490796 </w:t>
      </w:r>
      <w:r w:rsidRPr="003B65F2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DOI: </w:t>
      </w:r>
      <w:hyperlink r:id="rId11" w:tgtFrame="_blank" w:history="1">
        <w:r w:rsidRPr="003B65F2">
          <w:rPr>
            <w:rStyle w:val="Hipersaite"/>
            <w:rFonts w:ascii="Times New Roman" w:eastAsia="Times New Roman" w:hAnsi="Times New Roman" w:cs="Times New Roman"/>
            <w:kern w:val="0"/>
            <w:lang w:val="lv-LV" w:eastAsia="lv-LV"/>
            <w14:ligatures w14:val="none"/>
          </w:rPr>
          <w:t>10.1002/14651858.CD004827.pub5</w:t>
        </w:r>
      </w:hyperlink>
    </w:p>
    <w:p w14:paraId="6F645B06" w14:textId="4042258C" w:rsidR="00A7209B" w:rsidRPr="003B65F2" w:rsidRDefault="00A7209B" w:rsidP="007F3AE9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Goldenberg JZ, Lytvyn L,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Steurich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J, Parkin P, Mahant S, Johnston BC. Probiotics for the prevention of pediatric antibiotic-associated diarrhea. Cochrane Database Syst Rev. 2015 Dec 22;(12):CD004827.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: 10.1002/14651858.CD004827.pub4. Update in: Cochrane Database Syst Rev. 2019 Apr 30;4:CD004827.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: 10.1002/14651858.CD004827.pub5. PMID: 26695080.</w:t>
      </w:r>
      <w:r w:rsidR="007F3AE9"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7F3AE9" w:rsidRPr="003B65F2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DOI: </w:t>
      </w:r>
      <w:hyperlink r:id="rId12" w:tgtFrame="_blank" w:history="1">
        <w:r w:rsidR="007F3AE9" w:rsidRPr="003B65F2">
          <w:rPr>
            <w:rStyle w:val="Hipersaite"/>
            <w:rFonts w:ascii="Times New Roman" w:hAnsi="Times New Roman" w:cs="Times New Roman"/>
            <w:shd w:val="clear" w:color="auto" w:fill="FFFFFF"/>
            <w:lang w:val="lv-LV"/>
          </w:rPr>
          <w:t>10.1002/14651858.CD004827.pub2</w:t>
        </w:r>
      </w:hyperlink>
    </w:p>
    <w:p w14:paraId="1056184E" w14:textId="77777777" w:rsidR="003B65F2" w:rsidRPr="003B65F2" w:rsidRDefault="003B65F2" w:rsidP="003B65F2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Hill, C.,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Guarner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, F., Reid, G.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et al.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 The International Scientific Association for Probiotics and Prebiotics consensus statement on the scope and appropriate use of the term </w:t>
      </w:r>
      <w:proofErr w:type="gram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probiotic</w:t>
      </w:r>
      <w:proofErr w:type="gram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.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Nat Rev Gastroenterol Hepatol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> </w:t>
      </w:r>
      <w:r w:rsidRPr="003B65F2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11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, 506–514 (2014). </w:t>
      </w:r>
      <w:hyperlink r:id="rId13" w:history="1">
        <w:r w:rsidRPr="003B65F2">
          <w:rPr>
            <w:rStyle w:val="Hipersaite"/>
            <w:rFonts w:ascii="Times New Roman" w:hAnsi="Times New Roman" w:cs="Times New Roman"/>
            <w:shd w:val="clear" w:color="auto" w:fill="FFFFFF"/>
          </w:rPr>
          <w:t>https://doi.org/10.1038/nrgastro.2014.66</w:t>
        </w:r>
      </w:hyperlink>
    </w:p>
    <w:p w14:paraId="54164C85" w14:textId="77777777" w:rsidR="00F01CF8" w:rsidRPr="003B65F2" w:rsidRDefault="000F193C" w:rsidP="00F01CF8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Kaya, G., Usta, D., Sag, E., Aydin, Z. G., Buruk, C. K.,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Ozkaya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, E., Aydin, F., &amp; Cakir, M. (2023). Incidence and Risk Factors for Antibiotic-associated Diarrhea Among Hospitalized Children.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Pediatric Infectious Disease Journal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>,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42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(9). </w:t>
      </w:r>
      <w:r w:rsidR="00F01CF8" w:rsidRPr="003B65F2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DOI: </w:t>
      </w:r>
      <w:hyperlink r:id="rId14" w:tgtFrame="_blank" w:history="1">
        <w:r w:rsidR="00F01CF8" w:rsidRPr="003B65F2">
          <w:rPr>
            <w:rStyle w:val="Hipersaite"/>
            <w:rFonts w:ascii="Times New Roman" w:hAnsi="Times New Roman" w:cs="Times New Roman"/>
            <w:shd w:val="clear" w:color="auto" w:fill="FFFFFF"/>
            <w:lang w:val="lv-LV"/>
          </w:rPr>
          <w:t>10.1097/INF.0000000000003994</w:t>
        </w:r>
      </w:hyperlink>
    </w:p>
    <w:p w14:paraId="2FBB1F53" w14:textId="097A9B0D" w:rsidR="000F193C" w:rsidRPr="003B65F2" w:rsidRDefault="000F193C" w:rsidP="00F01CF8">
      <w:pPr>
        <w:pStyle w:val="Sarakstarindkopa"/>
        <w:rPr>
          <w:rFonts w:ascii="Times New Roman" w:hAnsi="Times New Roman" w:cs="Times New Roman"/>
          <w:color w:val="212121"/>
          <w:shd w:val="clear" w:color="auto" w:fill="FFFFFF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</w:rPr>
        <w:t>https://doi.org/10.1097/INF.0000000000003994</w:t>
      </w:r>
    </w:p>
    <w:p w14:paraId="2168D205" w14:textId="77777777" w:rsidR="006641A5" w:rsidRPr="003B65F2" w:rsidRDefault="000F193C" w:rsidP="006641A5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</w:rPr>
        <w:t>Korpela, K., &amp; de Vos, W. M. (2016). Antibiotic use in childhood alters the gut microbiota and predisposes to overweight. In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Microbial Cell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 (Vol. 3, Issue 7). </w:t>
      </w:r>
      <w:r w:rsidR="006641A5" w:rsidRPr="003B65F2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DOI: </w:t>
      </w:r>
      <w:hyperlink r:id="rId15" w:tgtFrame="_blank" w:history="1">
        <w:r w:rsidR="006641A5" w:rsidRPr="003B65F2">
          <w:rPr>
            <w:rStyle w:val="Hipersaite"/>
            <w:rFonts w:ascii="Times New Roman" w:hAnsi="Times New Roman" w:cs="Times New Roman"/>
            <w:shd w:val="clear" w:color="auto" w:fill="FFFFFF"/>
            <w:lang w:val="lv-LV"/>
          </w:rPr>
          <w:t>10.15698/mic2016.07.514</w:t>
        </w:r>
      </w:hyperlink>
    </w:p>
    <w:p w14:paraId="6614932B" w14:textId="77777777" w:rsidR="000F193C" w:rsidRPr="003B65F2" w:rsidRDefault="000F193C" w:rsidP="000F193C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</w:rPr>
        <w:t>McFarland, L. v. (2008). Antibiotic-associated diarrhea: Epidemiology, trends and treatment. In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Future </w:t>
      </w:r>
      <w:proofErr w:type="gramStart"/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Microbiology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>(</w:t>
      </w:r>
      <w:proofErr w:type="gram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Vol. 3, Issue 5). https://doi.org/10.2217/17460913.3.5.563</w:t>
      </w:r>
    </w:p>
    <w:p w14:paraId="3E5EB71B" w14:textId="77777777" w:rsidR="000F193C" w:rsidRPr="003B65F2" w:rsidRDefault="000F193C" w:rsidP="000F193C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</w:rPr>
        <w:t>Sekirov, I., Russell, S. L., Caetano M Antunes, L., &amp; Finlay, B. B. (2010). Gut microbiota in health and disease. In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Physiological Reviews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> (Vol. 90, Issue 3). https://doi.org/10.1152/physrev.00045.2009</w:t>
      </w:r>
    </w:p>
    <w:p w14:paraId="52A36285" w14:textId="77777777" w:rsidR="000F193C" w:rsidRPr="003B65F2" w:rsidRDefault="000F193C" w:rsidP="000F193C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</w:rPr>
        <w:t>Shirley, D. A., Tornel, W., Warren, C. A., &amp; Moonah, S. (2023). Clostridioides difficile Infection in Children: Recent Updates on Epidemiology, Diagnosis</w:t>
      </w:r>
      <w:proofErr w:type="gram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, Therapy</w:t>
      </w:r>
      <w:proofErr w:type="gram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. In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Pediatrics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> (Vol. 153, Issue 3). https://doi.org/10.1542/peds.2023-062307</w:t>
      </w:r>
    </w:p>
    <w:p w14:paraId="1E1F6651" w14:textId="77777777" w:rsidR="003B65F2" w:rsidRPr="003B65F2" w:rsidRDefault="003B65F2" w:rsidP="003B65F2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Szajewska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H,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Canani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RB, Guarino A,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Hojsak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I,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Indrio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F, Kolacek S, Orel R, Shamir R, Vandenplas Y, van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Goudoever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JB, Weizman Z; ESPGHAN Working Group for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ProbioticsPrebiotics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. Probiotics for the Prevention of Antibiotic-Associated Diarrhea in Children. J Pediatr Gastroenterol Nutr. 2016 Mar;62(3):495-506.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: 10.1097/MPG.0000000000001081. PMID: 26756877. </w:t>
      </w:r>
      <w:r w:rsidRPr="003B65F2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DOI: </w:t>
      </w:r>
      <w:hyperlink r:id="rId16" w:tgtFrame="_blank" w:history="1">
        <w:r w:rsidRPr="003B65F2">
          <w:rPr>
            <w:rStyle w:val="Hipersaite"/>
            <w:rFonts w:ascii="Times New Roman" w:hAnsi="Times New Roman" w:cs="Times New Roman"/>
            <w:shd w:val="clear" w:color="auto" w:fill="FFFFFF"/>
            <w:lang w:val="lv-LV"/>
          </w:rPr>
          <w:t>10.1097/MPG.0000000000001081</w:t>
        </w:r>
      </w:hyperlink>
    </w:p>
    <w:p w14:paraId="27827905" w14:textId="3523EDDC" w:rsidR="007F3AE9" w:rsidRPr="003B65F2" w:rsidRDefault="007C3068" w:rsidP="007F3AE9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</w:pP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Szajewska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H, Berni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Canani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R,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Domellöf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M,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Guarino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A,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Hojsak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I,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Indrio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F,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Lo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Vecchio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A,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Mihatsch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WA,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Mosca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A,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Orel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R, Salvatore S,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Shamir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R,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van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den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Akker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CHP,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van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Goudoever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JB,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Vandenplas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Y,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Weizman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Z; ESPGHAN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Special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Interest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Group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on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Gut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Microbiota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and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Modifications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.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Probiotics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for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the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Management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of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Pediatric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Gastrointestinal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Disorders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: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Position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Paper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of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the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ESPGHAN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Special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Interest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Group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on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Gut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Microbiota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and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Modifications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. J Pediatr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Gastroenterol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Nutr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. 2023 </w:t>
      </w:r>
      <w:proofErr w:type="spellStart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Feb</w:t>
      </w:r>
      <w:proofErr w:type="spellEnd"/>
      <w:r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1;76(2):232-247. </w:t>
      </w:r>
      <w:r w:rsidR="007F3AE9"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> DOI: </w:t>
      </w:r>
      <w:hyperlink r:id="rId17" w:tgtFrame="_blank" w:history="1">
        <w:r w:rsidR="007F3AE9" w:rsidRPr="003B65F2">
          <w:rPr>
            <w:rStyle w:val="Hipersaite"/>
            <w:rFonts w:ascii="Times New Roman" w:eastAsia="Times New Roman" w:hAnsi="Times New Roman" w:cs="Times New Roman"/>
            <w:kern w:val="0"/>
            <w:lang w:val="lv-LV" w:eastAsia="lv-LV"/>
            <w14:ligatures w14:val="none"/>
          </w:rPr>
          <w:t>10.1097/MPG.0000000000003633</w:t>
        </w:r>
      </w:hyperlink>
    </w:p>
    <w:p w14:paraId="5EF15749" w14:textId="77777777" w:rsidR="003B65F2" w:rsidRPr="003B65F2" w:rsidRDefault="003B65F2" w:rsidP="003B65F2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</w:rPr>
      </w:pP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lastRenderedPageBreak/>
        <w:t>Szajewska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, H., &amp;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Kołodziej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, M. (2015). Systematic review with meta-analysis: Saccharomyces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boulardii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in the prevention of antibiotic-associated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diarrhoea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. In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Alimentary Pharmacology and Therapeutics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 (Vol. 42, Issue 7). </w:t>
      </w:r>
      <w:hyperlink r:id="rId18" w:history="1">
        <w:r w:rsidRPr="003B65F2">
          <w:rPr>
            <w:rStyle w:val="Hipersaite"/>
            <w:rFonts w:ascii="Times New Roman" w:hAnsi="Times New Roman" w:cs="Times New Roman"/>
            <w:shd w:val="clear" w:color="auto" w:fill="FFFFFF"/>
          </w:rPr>
          <w:t>https://doi.org/10.1111/apt.13344</w:t>
        </w:r>
      </w:hyperlink>
    </w:p>
    <w:p w14:paraId="0939F55E" w14:textId="77777777" w:rsidR="00F553AC" w:rsidRPr="003B65F2" w:rsidRDefault="000F193C" w:rsidP="00F553AC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Turck, D., Bernet, J. P., Marx, J., Kempf, H., Giard, P., Walbaum, O., Lacombe, A., Rembert, F.,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Toursel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, F., Bernasconi, P.,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Gottrand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, F., McFarland, L. v., &amp; Bloch, K. (2003). Incidence and risk factors of oral antibiotic-associated diarrhea in an outpatient pediatric population.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Journal of Pediatric Gastroenterology and Nutrition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>,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37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(1). </w:t>
      </w:r>
      <w:r w:rsidR="00F553AC" w:rsidRPr="003B65F2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DOI: </w:t>
      </w:r>
      <w:hyperlink r:id="rId19" w:tgtFrame="_blank" w:history="1">
        <w:r w:rsidR="00F553AC" w:rsidRPr="003B65F2">
          <w:rPr>
            <w:rStyle w:val="Hipersaite"/>
            <w:rFonts w:ascii="Times New Roman" w:hAnsi="Times New Roman" w:cs="Times New Roman"/>
            <w:shd w:val="clear" w:color="auto" w:fill="FFFFFF"/>
            <w:lang w:val="lv-LV"/>
          </w:rPr>
          <w:t>10.1097/00005176-200307000-00004</w:t>
        </w:r>
      </w:hyperlink>
    </w:p>
    <w:p w14:paraId="47C88660" w14:textId="77777777" w:rsidR="003B65F2" w:rsidRPr="003B65F2" w:rsidRDefault="003B65F2" w:rsidP="003B65F2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</w:rPr>
      </w:pP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Waitzberg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, D.,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Guarner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, F.,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Hojsak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, I., Ianiro, G., Polk, D. B., &amp; Sokol, H. (2024). Can the Evidence-Based Use of Probiotics (Notably Saccharomyces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boulardii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CNCM I-745 and Lactobacillus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rhamnosus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 GG) Mitigate the Clinical Effects of Antibiotic-Associated Dysbiosis? In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Advances in Therapy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 (Vol. 41, Issue 3). </w:t>
      </w:r>
      <w:hyperlink r:id="rId20" w:history="1">
        <w:r w:rsidRPr="003B65F2">
          <w:rPr>
            <w:rStyle w:val="Hipersaite"/>
            <w:rFonts w:ascii="Times New Roman" w:hAnsi="Times New Roman" w:cs="Times New Roman"/>
            <w:shd w:val="clear" w:color="auto" w:fill="FFFFFF"/>
          </w:rPr>
          <w:t>https://doi.org/10.1007/s12325-024-02783-3</w:t>
        </w:r>
      </w:hyperlink>
    </w:p>
    <w:p w14:paraId="39C283FF" w14:textId="69BAEBBA" w:rsidR="007928F5" w:rsidRPr="003B65F2" w:rsidRDefault="00172C80" w:rsidP="007928F5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Wurm J, Curtis N, Zimmermann P. The effect of antibiotics on the intestinal microbiota in children - a systematic review. Front Allergy. 2024 Oct </w:t>
      </w:r>
      <w:proofErr w:type="gram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7;5:1458688</w:t>
      </w:r>
      <w:proofErr w:type="gram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.</w:t>
      </w:r>
      <w:r w:rsidR="007928F5" w:rsidRPr="003B65F2">
        <w:rPr>
          <w:rFonts w:ascii="Times New Roman" w:eastAsia="Times New Roman" w:hAnsi="Times New Roman" w:cs="Times New Roman"/>
          <w:color w:val="212121"/>
          <w:kern w:val="0"/>
          <w:lang w:val="lv-LV" w:eastAsia="lv-LV"/>
          <w14:ligatures w14:val="none"/>
        </w:rPr>
        <w:t xml:space="preserve"> </w:t>
      </w:r>
      <w:r w:rsidR="007928F5" w:rsidRPr="003B65F2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DOI: </w:t>
      </w:r>
      <w:hyperlink r:id="rId21" w:tgtFrame="_blank" w:history="1">
        <w:r w:rsidR="007928F5" w:rsidRPr="003B65F2">
          <w:rPr>
            <w:rStyle w:val="Hipersaite"/>
            <w:rFonts w:ascii="Times New Roman" w:hAnsi="Times New Roman" w:cs="Times New Roman"/>
            <w:shd w:val="clear" w:color="auto" w:fill="FFFFFF"/>
            <w:lang w:val="lv-LV"/>
          </w:rPr>
          <w:t>10.3389/falgy.2024.1458688</w:t>
        </w:r>
      </w:hyperlink>
    </w:p>
    <w:p w14:paraId="6575F9F1" w14:textId="77777777" w:rsidR="007928F5" w:rsidRPr="003B65F2" w:rsidRDefault="0041080D" w:rsidP="007928F5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Zimmermann P, Curtis N. The effect of antibiotics on the composition of the intestinal microbiota - a systematic review. J Infect. 2019 Dec;79(6):471-489. </w:t>
      </w:r>
      <w:r w:rsidR="007928F5" w:rsidRPr="003B65F2">
        <w:rPr>
          <w:rFonts w:ascii="Times New Roman" w:hAnsi="Times New Roman" w:cs="Times New Roman"/>
          <w:color w:val="212121"/>
          <w:shd w:val="clear" w:color="auto" w:fill="FFFFFF"/>
          <w:lang w:val="lv-LV"/>
        </w:rPr>
        <w:t>DOI: </w:t>
      </w:r>
      <w:hyperlink r:id="rId22" w:tgtFrame="_blank" w:history="1">
        <w:r w:rsidR="007928F5" w:rsidRPr="003B65F2">
          <w:rPr>
            <w:rStyle w:val="Hipersaite"/>
            <w:rFonts w:ascii="Times New Roman" w:hAnsi="Times New Roman" w:cs="Times New Roman"/>
            <w:shd w:val="clear" w:color="auto" w:fill="FFFFFF"/>
            <w:lang w:val="lv-LV"/>
          </w:rPr>
          <w:t>10.1016/j.jinf.2019.10.008</w:t>
        </w:r>
      </w:hyperlink>
    </w:p>
    <w:p w14:paraId="1893317D" w14:textId="77777777" w:rsidR="003B65F2" w:rsidRPr="003B65F2" w:rsidRDefault="003B65F2" w:rsidP="003B65F2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</w:rPr>
      </w:pPr>
      <w:proofErr w:type="spellStart"/>
      <w:r w:rsidRPr="003B65F2">
        <w:rPr>
          <w:rFonts w:ascii="Times New Roman" w:hAnsi="Times New Roman" w:cs="Times New Roman"/>
          <w:color w:val="333333"/>
        </w:rPr>
        <w:t>Zāļu</w:t>
      </w:r>
      <w:proofErr w:type="spellEnd"/>
      <w:r w:rsidRPr="003B65F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B65F2">
        <w:rPr>
          <w:rFonts w:ascii="Times New Roman" w:hAnsi="Times New Roman" w:cs="Times New Roman"/>
          <w:color w:val="333333"/>
        </w:rPr>
        <w:t>patēriņa</w:t>
      </w:r>
      <w:proofErr w:type="spellEnd"/>
      <w:r w:rsidRPr="003B65F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B65F2">
        <w:rPr>
          <w:rFonts w:ascii="Times New Roman" w:hAnsi="Times New Roman" w:cs="Times New Roman"/>
          <w:color w:val="333333"/>
        </w:rPr>
        <w:t>statistika</w:t>
      </w:r>
      <w:proofErr w:type="spellEnd"/>
      <w:r w:rsidRPr="003B65F2">
        <w:rPr>
          <w:rFonts w:ascii="Times New Roman" w:hAnsi="Times New Roman" w:cs="Times New Roman"/>
          <w:color w:val="333333"/>
        </w:rPr>
        <w:t xml:space="preserve">. </w:t>
      </w:r>
      <w:proofErr w:type="spellStart"/>
      <w:r w:rsidRPr="003B65F2">
        <w:rPr>
          <w:rFonts w:ascii="Times New Roman" w:hAnsi="Times New Roman" w:cs="Times New Roman"/>
          <w:color w:val="333333"/>
        </w:rPr>
        <w:t>Zāļu</w:t>
      </w:r>
      <w:proofErr w:type="spellEnd"/>
      <w:r w:rsidRPr="003B65F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B65F2">
        <w:rPr>
          <w:rFonts w:ascii="Times New Roman" w:hAnsi="Times New Roman" w:cs="Times New Roman"/>
          <w:color w:val="333333"/>
        </w:rPr>
        <w:t>patēriņš</w:t>
      </w:r>
      <w:proofErr w:type="spellEnd"/>
      <w:r w:rsidRPr="003B65F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B65F2">
        <w:rPr>
          <w:rFonts w:ascii="Times New Roman" w:hAnsi="Times New Roman" w:cs="Times New Roman"/>
          <w:color w:val="333333"/>
        </w:rPr>
        <w:t>pēc</w:t>
      </w:r>
      <w:proofErr w:type="spellEnd"/>
      <w:r w:rsidRPr="003B65F2">
        <w:rPr>
          <w:rFonts w:ascii="Times New Roman" w:hAnsi="Times New Roman" w:cs="Times New Roman"/>
          <w:color w:val="333333"/>
        </w:rPr>
        <w:t xml:space="preserve"> DDD </w:t>
      </w:r>
      <w:proofErr w:type="spellStart"/>
      <w:r w:rsidRPr="003B65F2">
        <w:rPr>
          <w:rFonts w:ascii="Times New Roman" w:hAnsi="Times New Roman" w:cs="Times New Roman"/>
          <w:color w:val="333333"/>
        </w:rPr>
        <w:t>uz</w:t>
      </w:r>
      <w:proofErr w:type="spellEnd"/>
      <w:r w:rsidRPr="003B65F2">
        <w:rPr>
          <w:rFonts w:ascii="Times New Roman" w:hAnsi="Times New Roman" w:cs="Times New Roman"/>
          <w:color w:val="333333"/>
        </w:rPr>
        <w:t xml:space="preserve"> 1000 </w:t>
      </w:r>
      <w:proofErr w:type="spellStart"/>
      <w:r w:rsidRPr="003B65F2">
        <w:rPr>
          <w:rFonts w:ascii="Times New Roman" w:hAnsi="Times New Roman" w:cs="Times New Roman"/>
          <w:color w:val="333333"/>
        </w:rPr>
        <w:t>iedzīvotājiem</w:t>
      </w:r>
      <w:proofErr w:type="spellEnd"/>
      <w:r w:rsidRPr="003B65F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B65F2">
        <w:rPr>
          <w:rFonts w:ascii="Times New Roman" w:hAnsi="Times New Roman" w:cs="Times New Roman"/>
          <w:color w:val="333333"/>
        </w:rPr>
        <w:t>dienā</w:t>
      </w:r>
      <w:proofErr w:type="spellEnd"/>
      <w:r w:rsidRPr="003B65F2">
        <w:rPr>
          <w:rFonts w:ascii="Times New Roman" w:hAnsi="Times New Roman" w:cs="Times New Roman"/>
          <w:color w:val="333333"/>
        </w:rPr>
        <w:t xml:space="preserve"> 2020.-2024. Gads. </w:t>
      </w:r>
      <w:proofErr w:type="spellStart"/>
      <w:r w:rsidRPr="003B65F2">
        <w:rPr>
          <w:rFonts w:ascii="Times New Roman" w:hAnsi="Times New Roman" w:cs="Times New Roman"/>
          <w:color w:val="333333"/>
        </w:rPr>
        <w:t>Zāļu</w:t>
      </w:r>
      <w:proofErr w:type="spellEnd"/>
      <w:r w:rsidRPr="003B65F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B65F2">
        <w:rPr>
          <w:rFonts w:ascii="Times New Roman" w:hAnsi="Times New Roman" w:cs="Times New Roman"/>
          <w:color w:val="333333"/>
        </w:rPr>
        <w:t>valsts</w:t>
      </w:r>
      <w:proofErr w:type="spellEnd"/>
      <w:r w:rsidRPr="003B65F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B65F2">
        <w:rPr>
          <w:rFonts w:ascii="Times New Roman" w:hAnsi="Times New Roman" w:cs="Times New Roman"/>
          <w:color w:val="333333"/>
        </w:rPr>
        <w:t>aģentūra</w:t>
      </w:r>
      <w:proofErr w:type="spellEnd"/>
      <w:r w:rsidRPr="003B65F2">
        <w:rPr>
          <w:rFonts w:ascii="Times New Roman" w:hAnsi="Times New Roman" w:cs="Times New Roman"/>
          <w:b/>
          <w:bCs/>
          <w:color w:val="333333"/>
        </w:rPr>
        <w:t xml:space="preserve">. 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>https://www.zva.gov.lv/lv/publikacijas-un-statistika/zalu-paterina-statistika-ddd</w:t>
      </w:r>
    </w:p>
    <w:p w14:paraId="710E0885" w14:textId="225B5D9D" w:rsidR="000F193C" w:rsidRPr="003B65F2" w:rsidRDefault="000F193C" w:rsidP="000F193C">
      <w:pPr>
        <w:pStyle w:val="Sarakstarindkopa"/>
        <w:numPr>
          <w:ilvl w:val="0"/>
          <w:numId w:val="24"/>
        </w:numPr>
        <w:rPr>
          <w:rFonts w:ascii="Times New Roman" w:hAnsi="Times New Roman" w:cs="Times New Roman"/>
          <w:color w:val="212121"/>
          <w:shd w:val="clear" w:color="auto" w:fill="FFFFFF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Youngster, I.,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Avorn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, J.,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Belleudi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, V., Cantarutti, A., Díez-Domingo, J., Kirchmayer, U., Park, B. J., Peiró, S.,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Sanfélix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-Gimeno, G., Schröder, H.,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Schüssel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, K., Shin, J. Y., Shin, S. M., Simonsen, G. S., Blix, H. S., Tong, A., </w:t>
      </w:r>
      <w:proofErr w:type="spellStart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Trifirò</w:t>
      </w:r>
      <w:proofErr w:type="spellEnd"/>
      <w:r w:rsidRPr="003B65F2">
        <w:rPr>
          <w:rFonts w:ascii="Times New Roman" w:hAnsi="Times New Roman" w:cs="Times New Roman"/>
          <w:color w:val="212121"/>
          <w:shd w:val="clear" w:color="auto" w:fill="FFFFFF"/>
        </w:rPr>
        <w:t>, G., Ziv-Baran, T., &amp; Kim, S. C. (2017). Antibiotic Use in Children – A Cross-National Analysis of 6 Countries.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Journal of Pediatrics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>, </w:t>
      </w:r>
      <w:r w:rsidRPr="003B65F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182</w:t>
      </w:r>
      <w:r w:rsidRPr="003B65F2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hyperlink r:id="rId23" w:history="1">
        <w:r w:rsidR="003D1527" w:rsidRPr="003B65F2">
          <w:rPr>
            <w:rStyle w:val="Hipersaite"/>
            <w:rFonts w:ascii="Times New Roman" w:hAnsi="Times New Roman" w:cs="Times New Roman"/>
            <w:shd w:val="clear" w:color="auto" w:fill="FFFFFF"/>
          </w:rPr>
          <w:t>https://doi.org/10.1016/j.jpeds.2016.11.027</w:t>
        </w:r>
      </w:hyperlink>
    </w:p>
    <w:p w14:paraId="53777CAC" w14:textId="4D805517" w:rsidR="00A07571" w:rsidRPr="003B65F2" w:rsidRDefault="00A07571" w:rsidP="009F095A">
      <w:pPr>
        <w:pStyle w:val="Sarakstarindkopa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5B7BBF54" w14:textId="77777777" w:rsidR="001A607C" w:rsidRPr="003B65F2" w:rsidRDefault="001A607C" w:rsidP="00EF6F7A">
      <w:p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</w:p>
    <w:p w14:paraId="17C3BD87" w14:textId="77777777" w:rsidR="00A07571" w:rsidRPr="003B65F2" w:rsidRDefault="00A07571">
      <w:pPr>
        <w:rPr>
          <w:rFonts w:ascii="Times New Roman" w:hAnsi="Times New Roman" w:cs="Times New Roman"/>
          <w:color w:val="212121"/>
          <w:shd w:val="clear" w:color="auto" w:fill="FFFFFF"/>
          <w:lang w:val="lv-LV"/>
        </w:rPr>
      </w:pPr>
      <w:r w:rsidRPr="003B65F2">
        <w:rPr>
          <w:rFonts w:ascii="Times New Roman" w:hAnsi="Times New Roman" w:cs="Times New Roman"/>
          <w:color w:val="212121"/>
          <w:shd w:val="clear" w:color="auto" w:fill="FFFFFF"/>
          <w:lang w:val="lv-LV"/>
        </w:rPr>
        <w:br w:type="page"/>
      </w:r>
    </w:p>
    <w:sectPr w:rsidR="00A07571" w:rsidRPr="003B65F2" w:rsidSect="004837A1">
      <w:headerReference w:type="defaul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B9AE" w14:textId="77777777" w:rsidR="00DD15A0" w:rsidRDefault="00DD15A0" w:rsidP="00BB1A5D">
      <w:pPr>
        <w:spacing w:after="0" w:line="240" w:lineRule="auto"/>
      </w:pPr>
      <w:r>
        <w:separator/>
      </w:r>
    </w:p>
  </w:endnote>
  <w:endnote w:type="continuationSeparator" w:id="0">
    <w:p w14:paraId="3A7E2EF3" w14:textId="77777777" w:rsidR="00DD15A0" w:rsidRDefault="00DD15A0" w:rsidP="00BB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phik Semibold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raphik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361E" w14:textId="77777777" w:rsidR="00DD15A0" w:rsidRDefault="00DD15A0" w:rsidP="00BB1A5D">
      <w:pPr>
        <w:spacing w:after="0" w:line="240" w:lineRule="auto"/>
      </w:pPr>
      <w:r>
        <w:separator/>
      </w:r>
    </w:p>
  </w:footnote>
  <w:footnote w:type="continuationSeparator" w:id="0">
    <w:p w14:paraId="405200D6" w14:textId="77777777" w:rsidR="00DD15A0" w:rsidRDefault="00DD15A0" w:rsidP="00BB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678E" w14:textId="399AAE86" w:rsidR="00BB1A5D" w:rsidRDefault="00BB1A5D">
    <w:pPr>
      <w:pStyle w:val="Galvene"/>
    </w:pPr>
    <w:r>
      <w:rPr>
        <w:noProof/>
        <w:lang w:val="lv-LV" w:eastAsia="lv-LV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261F0C" wp14:editId="31706092">
              <wp:simplePos x="0" y="0"/>
              <wp:positionH relativeFrom="margin">
                <wp:posOffset>-635</wp:posOffset>
              </wp:positionH>
              <wp:positionV relativeFrom="page">
                <wp:posOffset>451485</wp:posOffset>
              </wp:positionV>
              <wp:extent cx="6106795" cy="269875"/>
              <wp:effectExtent l="0" t="0" r="1905" b="0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6795" cy="2698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0EAB3AC" w14:textId="436D89ED" w:rsidR="00BB1A5D" w:rsidRDefault="00CE0169">
                              <w:pPr>
                                <w:pStyle w:val="Galve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Antibiotiku izraisīta caureja bērnieM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261F0C" id="Rectangle 23" o:spid="_x0000_s1031" style="position:absolute;margin-left:-.05pt;margin-top:35.55pt;width:480.8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" o:allowoverlap="f" fillcolor="#45b0e1 [1940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0EAB3AC" w14:textId="436D89ED" w:rsidR="00BB1A5D" w:rsidRDefault="00CE0169">
                        <w:pPr>
                          <w:pStyle w:val="Galve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Antibiotiku izraisīta caureja bērnieM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E43"/>
    <w:multiLevelType w:val="multilevel"/>
    <w:tmpl w:val="1A78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76FA9"/>
    <w:multiLevelType w:val="multilevel"/>
    <w:tmpl w:val="0466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C638C"/>
    <w:multiLevelType w:val="multilevel"/>
    <w:tmpl w:val="9708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F297A"/>
    <w:multiLevelType w:val="hybridMultilevel"/>
    <w:tmpl w:val="F5C2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1212F"/>
    <w:multiLevelType w:val="multilevel"/>
    <w:tmpl w:val="8E82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573D6"/>
    <w:multiLevelType w:val="multilevel"/>
    <w:tmpl w:val="3E1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27C08"/>
    <w:multiLevelType w:val="hybridMultilevel"/>
    <w:tmpl w:val="0C9AC4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97FFC"/>
    <w:multiLevelType w:val="multilevel"/>
    <w:tmpl w:val="6616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F2D17"/>
    <w:multiLevelType w:val="multilevel"/>
    <w:tmpl w:val="309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26789"/>
    <w:multiLevelType w:val="hybridMultilevel"/>
    <w:tmpl w:val="989C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0612F"/>
    <w:multiLevelType w:val="hybridMultilevel"/>
    <w:tmpl w:val="40EE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35966"/>
    <w:multiLevelType w:val="multilevel"/>
    <w:tmpl w:val="D31A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6B0049"/>
    <w:multiLevelType w:val="multilevel"/>
    <w:tmpl w:val="17A2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66221A"/>
    <w:multiLevelType w:val="multilevel"/>
    <w:tmpl w:val="E4BA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3228E"/>
    <w:multiLevelType w:val="multilevel"/>
    <w:tmpl w:val="D6AC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744AF"/>
    <w:multiLevelType w:val="multilevel"/>
    <w:tmpl w:val="9708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4660B"/>
    <w:multiLevelType w:val="multilevel"/>
    <w:tmpl w:val="ECBC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076C40"/>
    <w:multiLevelType w:val="hybridMultilevel"/>
    <w:tmpl w:val="2D4E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C2118"/>
    <w:multiLevelType w:val="multilevel"/>
    <w:tmpl w:val="7E62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2513A0"/>
    <w:multiLevelType w:val="hybridMultilevel"/>
    <w:tmpl w:val="4EDE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046B4"/>
    <w:multiLevelType w:val="hybridMultilevel"/>
    <w:tmpl w:val="50D8C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D46628"/>
    <w:multiLevelType w:val="multilevel"/>
    <w:tmpl w:val="309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A5340"/>
    <w:multiLevelType w:val="multilevel"/>
    <w:tmpl w:val="17C0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965F3"/>
    <w:multiLevelType w:val="multilevel"/>
    <w:tmpl w:val="309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821576"/>
    <w:multiLevelType w:val="multilevel"/>
    <w:tmpl w:val="309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C910F2"/>
    <w:multiLevelType w:val="multilevel"/>
    <w:tmpl w:val="A796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B509E6"/>
    <w:multiLevelType w:val="hybridMultilevel"/>
    <w:tmpl w:val="B5CE44D8"/>
    <w:lvl w:ilvl="0" w:tplc="0426000F">
      <w:start w:val="1"/>
      <w:numFmt w:val="decimal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ED635BD"/>
    <w:multiLevelType w:val="multilevel"/>
    <w:tmpl w:val="B71A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4D22AB"/>
    <w:multiLevelType w:val="multilevel"/>
    <w:tmpl w:val="6F10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2A4A90"/>
    <w:multiLevelType w:val="multilevel"/>
    <w:tmpl w:val="9708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F556C7"/>
    <w:multiLevelType w:val="multilevel"/>
    <w:tmpl w:val="A448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903C3"/>
    <w:multiLevelType w:val="multilevel"/>
    <w:tmpl w:val="309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103F46"/>
    <w:multiLevelType w:val="multilevel"/>
    <w:tmpl w:val="65B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1E7590"/>
    <w:multiLevelType w:val="multilevel"/>
    <w:tmpl w:val="A7E2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9417E9"/>
    <w:multiLevelType w:val="multilevel"/>
    <w:tmpl w:val="D158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666530"/>
    <w:multiLevelType w:val="hybridMultilevel"/>
    <w:tmpl w:val="4A5C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F43F5"/>
    <w:multiLevelType w:val="hybridMultilevel"/>
    <w:tmpl w:val="0740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31948"/>
    <w:multiLevelType w:val="multilevel"/>
    <w:tmpl w:val="42C8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607A16"/>
    <w:multiLevelType w:val="multilevel"/>
    <w:tmpl w:val="F58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894C53"/>
    <w:multiLevelType w:val="multilevel"/>
    <w:tmpl w:val="98C2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EA745F"/>
    <w:multiLevelType w:val="multilevel"/>
    <w:tmpl w:val="4572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3B0438"/>
    <w:multiLevelType w:val="multilevel"/>
    <w:tmpl w:val="309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A4059C"/>
    <w:multiLevelType w:val="hybridMultilevel"/>
    <w:tmpl w:val="D9A6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356CE"/>
    <w:multiLevelType w:val="multilevel"/>
    <w:tmpl w:val="E1E4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109786">
    <w:abstractNumId w:val="12"/>
  </w:num>
  <w:num w:numId="2" w16cid:durableId="63651521">
    <w:abstractNumId w:val="8"/>
  </w:num>
  <w:num w:numId="3" w16cid:durableId="1031878767">
    <w:abstractNumId w:val="16"/>
  </w:num>
  <w:num w:numId="4" w16cid:durableId="374621155">
    <w:abstractNumId w:val="42"/>
  </w:num>
  <w:num w:numId="5" w16cid:durableId="173880620">
    <w:abstractNumId w:val="19"/>
  </w:num>
  <w:num w:numId="6" w16cid:durableId="1938823859">
    <w:abstractNumId w:val="20"/>
  </w:num>
  <w:num w:numId="7" w16cid:durableId="792865668">
    <w:abstractNumId w:val="36"/>
  </w:num>
  <w:num w:numId="8" w16cid:durableId="1075202576">
    <w:abstractNumId w:val="7"/>
  </w:num>
  <w:num w:numId="9" w16cid:durableId="1213809166">
    <w:abstractNumId w:val="43"/>
  </w:num>
  <w:num w:numId="10" w16cid:durableId="1903249595">
    <w:abstractNumId w:val="10"/>
  </w:num>
  <w:num w:numId="11" w16cid:durableId="892422394">
    <w:abstractNumId w:val="3"/>
  </w:num>
  <w:num w:numId="12" w16cid:durableId="1686903958">
    <w:abstractNumId w:val="35"/>
  </w:num>
  <w:num w:numId="13" w16cid:durableId="443425690">
    <w:abstractNumId w:val="9"/>
  </w:num>
  <w:num w:numId="14" w16cid:durableId="274141962">
    <w:abstractNumId w:val="17"/>
  </w:num>
  <w:num w:numId="15" w16cid:durableId="1989825240">
    <w:abstractNumId w:val="0"/>
  </w:num>
  <w:num w:numId="16" w16cid:durableId="585772291">
    <w:abstractNumId w:val="15"/>
  </w:num>
  <w:num w:numId="17" w16cid:durableId="417410977">
    <w:abstractNumId w:val="24"/>
  </w:num>
  <w:num w:numId="18" w16cid:durableId="1325889172">
    <w:abstractNumId w:val="23"/>
  </w:num>
  <w:num w:numId="19" w16cid:durableId="485974028">
    <w:abstractNumId w:val="2"/>
  </w:num>
  <w:num w:numId="20" w16cid:durableId="1472600593">
    <w:abstractNumId w:val="41"/>
  </w:num>
  <w:num w:numId="21" w16cid:durableId="1120802256">
    <w:abstractNumId w:val="21"/>
  </w:num>
  <w:num w:numId="22" w16cid:durableId="1930698937">
    <w:abstractNumId w:val="31"/>
  </w:num>
  <w:num w:numId="23" w16cid:durableId="111438685">
    <w:abstractNumId w:val="29"/>
  </w:num>
  <w:num w:numId="24" w16cid:durableId="46615149">
    <w:abstractNumId w:val="6"/>
  </w:num>
  <w:num w:numId="25" w16cid:durableId="1968584502">
    <w:abstractNumId w:val="13"/>
  </w:num>
  <w:num w:numId="26" w16cid:durableId="1334457531">
    <w:abstractNumId w:val="37"/>
  </w:num>
  <w:num w:numId="27" w16cid:durableId="833686687">
    <w:abstractNumId w:val="40"/>
  </w:num>
  <w:num w:numId="28" w16cid:durableId="1472020399">
    <w:abstractNumId w:val="33"/>
  </w:num>
  <w:num w:numId="29" w16cid:durableId="544954834">
    <w:abstractNumId w:val="22"/>
  </w:num>
  <w:num w:numId="30" w16cid:durableId="2051763253">
    <w:abstractNumId w:val="28"/>
  </w:num>
  <w:num w:numId="31" w16cid:durableId="2070959022">
    <w:abstractNumId w:val="1"/>
  </w:num>
  <w:num w:numId="32" w16cid:durableId="984622013">
    <w:abstractNumId w:val="34"/>
  </w:num>
  <w:num w:numId="33" w16cid:durableId="613101149">
    <w:abstractNumId w:val="38"/>
  </w:num>
  <w:num w:numId="34" w16cid:durableId="1129518595">
    <w:abstractNumId w:val="39"/>
  </w:num>
  <w:num w:numId="35" w16cid:durableId="1930654193">
    <w:abstractNumId w:val="30"/>
  </w:num>
  <w:num w:numId="36" w16cid:durableId="1368260750">
    <w:abstractNumId w:val="18"/>
  </w:num>
  <w:num w:numId="37" w16cid:durableId="1446079687">
    <w:abstractNumId w:val="27"/>
  </w:num>
  <w:num w:numId="38" w16cid:durableId="1771584000">
    <w:abstractNumId w:val="25"/>
  </w:num>
  <w:num w:numId="39" w16cid:durableId="1995642500">
    <w:abstractNumId w:val="4"/>
  </w:num>
  <w:num w:numId="40" w16cid:durableId="1257404205">
    <w:abstractNumId w:val="5"/>
  </w:num>
  <w:num w:numId="41" w16cid:durableId="1790929859">
    <w:abstractNumId w:val="11"/>
  </w:num>
  <w:num w:numId="42" w16cid:durableId="399786550">
    <w:abstractNumId w:val="32"/>
  </w:num>
  <w:num w:numId="43" w16cid:durableId="1211268113">
    <w:abstractNumId w:val="14"/>
  </w:num>
  <w:num w:numId="44" w16cid:durableId="11541835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49"/>
    <w:rsid w:val="00006D7C"/>
    <w:rsid w:val="00026AE2"/>
    <w:rsid w:val="000418A4"/>
    <w:rsid w:val="00044241"/>
    <w:rsid w:val="0006340B"/>
    <w:rsid w:val="00065458"/>
    <w:rsid w:val="000803F8"/>
    <w:rsid w:val="00091D5F"/>
    <w:rsid w:val="000968C1"/>
    <w:rsid w:val="000A5503"/>
    <w:rsid w:val="000D3DAA"/>
    <w:rsid w:val="000E16F2"/>
    <w:rsid w:val="000E1EDA"/>
    <w:rsid w:val="000E73C7"/>
    <w:rsid w:val="000F193C"/>
    <w:rsid w:val="00113B0F"/>
    <w:rsid w:val="00125AD8"/>
    <w:rsid w:val="00126886"/>
    <w:rsid w:val="00130280"/>
    <w:rsid w:val="00136810"/>
    <w:rsid w:val="00144F69"/>
    <w:rsid w:val="00172C80"/>
    <w:rsid w:val="001910A5"/>
    <w:rsid w:val="00191531"/>
    <w:rsid w:val="001A01F9"/>
    <w:rsid w:val="001A607C"/>
    <w:rsid w:val="001B2283"/>
    <w:rsid w:val="001E40FA"/>
    <w:rsid w:val="002102E7"/>
    <w:rsid w:val="0021495D"/>
    <w:rsid w:val="002203C1"/>
    <w:rsid w:val="00230FA6"/>
    <w:rsid w:val="00266913"/>
    <w:rsid w:val="00275FF4"/>
    <w:rsid w:val="00282019"/>
    <w:rsid w:val="002A5D45"/>
    <w:rsid w:val="002B197C"/>
    <w:rsid w:val="002B20C0"/>
    <w:rsid w:val="002D6E4E"/>
    <w:rsid w:val="003345E3"/>
    <w:rsid w:val="00365C83"/>
    <w:rsid w:val="00385494"/>
    <w:rsid w:val="00391DBE"/>
    <w:rsid w:val="00397DB1"/>
    <w:rsid w:val="003A2176"/>
    <w:rsid w:val="003B1FCF"/>
    <w:rsid w:val="003B65F2"/>
    <w:rsid w:val="003B6D36"/>
    <w:rsid w:val="003D1527"/>
    <w:rsid w:val="003F6093"/>
    <w:rsid w:val="003F75B5"/>
    <w:rsid w:val="00406F82"/>
    <w:rsid w:val="0041080D"/>
    <w:rsid w:val="00441818"/>
    <w:rsid w:val="00442A3E"/>
    <w:rsid w:val="00452B95"/>
    <w:rsid w:val="00456660"/>
    <w:rsid w:val="0048236E"/>
    <w:rsid w:val="004837A1"/>
    <w:rsid w:val="004F28BC"/>
    <w:rsid w:val="004F5261"/>
    <w:rsid w:val="004F56FB"/>
    <w:rsid w:val="005073E2"/>
    <w:rsid w:val="005236B6"/>
    <w:rsid w:val="00543B32"/>
    <w:rsid w:val="00552C73"/>
    <w:rsid w:val="00570F03"/>
    <w:rsid w:val="00577105"/>
    <w:rsid w:val="005800EB"/>
    <w:rsid w:val="005916D2"/>
    <w:rsid w:val="005A28B1"/>
    <w:rsid w:val="005A514F"/>
    <w:rsid w:val="005A67D0"/>
    <w:rsid w:val="005A7CDA"/>
    <w:rsid w:val="005B5CD6"/>
    <w:rsid w:val="005C4959"/>
    <w:rsid w:val="005C591D"/>
    <w:rsid w:val="005F5CC5"/>
    <w:rsid w:val="00600FF8"/>
    <w:rsid w:val="00603495"/>
    <w:rsid w:val="006137DF"/>
    <w:rsid w:val="00614CD7"/>
    <w:rsid w:val="00625A87"/>
    <w:rsid w:val="00633FB9"/>
    <w:rsid w:val="006437AA"/>
    <w:rsid w:val="006641A5"/>
    <w:rsid w:val="006734D8"/>
    <w:rsid w:val="00673E23"/>
    <w:rsid w:val="00675B51"/>
    <w:rsid w:val="0067666C"/>
    <w:rsid w:val="00683534"/>
    <w:rsid w:val="0068788F"/>
    <w:rsid w:val="0069612E"/>
    <w:rsid w:val="006965BD"/>
    <w:rsid w:val="006A60B0"/>
    <w:rsid w:val="006C4B71"/>
    <w:rsid w:val="006C5989"/>
    <w:rsid w:val="006D3299"/>
    <w:rsid w:val="006E563B"/>
    <w:rsid w:val="006E7D37"/>
    <w:rsid w:val="006F0479"/>
    <w:rsid w:val="006F3FA4"/>
    <w:rsid w:val="006F445E"/>
    <w:rsid w:val="00703CEE"/>
    <w:rsid w:val="00707765"/>
    <w:rsid w:val="007272B5"/>
    <w:rsid w:val="00734192"/>
    <w:rsid w:val="00763BC7"/>
    <w:rsid w:val="007928F5"/>
    <w:rsid w:val="00794B66"/>
    <w:rsid w:val="00797A53"/>
    <w:rsid w:val="007B3AC2"/>
    <w:rsid w:val="007B3CAA"/>
    <w:rsid w:val="007B3DB5"/>
    <w:rsid w:val="007B5278"/>
    <w:rsid w:val="007C3068"/>
    <w:rsid w:val="007D4FEE"/>
    <w:rsid w:val="007D63F0"/>
    <w:rsid w:val="007F3AE9"/>
    <w:rsid w:val="00803BF9"/>
    <w:rsid w:val="00831D60"/>
    <w:rsid w:val="00852904"/>
    <w:rsid w:val="008529FC"/>
    <w:rsid w:val="00854CD3"/>
    <w:rsid w:val="00861CAF"/>
    <w:rsid w:val="00881EC2"/>
    <w:rsid w:val="00895A44"/>
    <w:rsid w:val="008C6F6A"/>
    <w:rsid w:val="008E29E0"/>
    <w:rsid w:val="008E7F60"/>
    <w:rsid w:val="00907D3F"/>
    <w:rsid w:val="00911BB8"/>
    <w:rsid w:val="00914800"/>
    <w:rsid w:val="00915990"/>
    <w:rsid w:val="00922D46"/>
    <w:rsid w:val="00923A47"/>
    <w:rsid w:val="00923F9E"/>
    <w:rsid w:val="009654D1"/>
    <w:rsid w:val="0097181F"/>
    <w:rsid w:val="00976CCE"/>
    <w:rsid w:val="00984839"/>
    <w:rsid w:val="00993857"/>
    <w:rsid w:val="009B4593"/>
    <w:rsid w:val="009C49E4"/>
    <w:rsid w:val="009E35F5"/>
    <w:rsid w:val="009F095A"/>
    <w:rsid w:val="00A031F4"/>
    <w:rsid w:val="00A055C4"/>
    <w:rsid w:val="00A07571"/>
    <w:rsid w:val="00A12FFC"/>
    <w:rsid w:val="00A13EF7"/>
    <w:rsid w:val="00A15F3F"/>
    <w:rsid w:val="00A16E2B"/>
    <w:rsid w:val="00A20E55"/>
    <w:rsid w:val="00A25870"/>
    <w:rsid w:val="00A4412A"/>
    <w:rsid w:val="00A51BB6"/>
    <w:rsid w:val="00A53AC6"/>
    <w:rsid w:val="00A7209B"/>
    <w:rsid w:val="00AB70BF"/>
    <w:rsid w:val="00AD5EAD"/>
    <w:rsid w:val="00B1006B"/>
    <w:rsid w:val="00B3735B"/>
    <w:rsid w:val="00B577A2"/>
    <w:rsid w:val="00B83E66"/>
    <w:rsid w:val="00B94EA3"/>
    <w:rsid w:val="00BB1A5D"/>
    <w:rsid w:val="00BB4DB2"/>
    <w:rsid w:val="00BD4F99"/>
    <w:rsid w:val="00BD6467"/>
    <w:rsid w:val="00BE23DF"/>
    <w:rsid w:val="00BE2B1D"/>
    <w:rsid w:val="00C20FFA"/>
    <w:rsid w:val="00C30608"/>
    <w:rsid w:val="00C43F14"/>
    <w:rsid w:val="00CA6BF4"/>
    <w:rsid w:val="00CC5DB5"/>
    <w:rsid w:val="00CD1E2D"/>
    <w:rsid w:val="00CD37A4"/>
    <w:rsid w:val="00CE0169"/>
    <w:rsid w:val="00D02649"/>
    <w:rsid w:val="00D05DD0"/>
    <w:rsid w:val="00D3362E"/>
    <w:rsid w:val="00D418CD"/>
    <w:rsid w:val="00D45742"/>
    <w:rsid w:val="00D56709"/>
    <w:rsid w:val="00D568F6"/>
    <w:rsid w:val="00D74D85"/>
    <w:rsid w:val="00D80D5A"/>
    <w:rsid w:val="00D86A33"/>
    <w:rsid w:val="00D87405"/>
    <w:rsid w:val="00DA688C"/>
    <w:rsid w:val="00DA7BDD"/>
    <w:rsid w:val="00DC7B06"/>
    <w:rsid w:val="00DD15A0"/>
    <w:rsid w:val="00DE2071"/>
    <w:rsid w:val="00DF0588"/>
    <w:rsid w:val="00DF142F"/>
    <w:rsid w:val="00DF6DF1"/>
    <w:rsid w:val="00E010D2"/>
    <w:rsid w:val="00E02ADC"/>
    <w:rsid w:val="00E05BB1"/>
    <w:rsid w:val="00E11915"/>
    <w:rsid w:val="00E11D02"/>
    <w:rsid w:val="00E229BF"/>
    <w:rsid w:val="00E27673"/>
    <w:rsid w:val="00EA0DA3"/>
    <w:rsid w:val="00EA738C"/>
    <w:rsid w:val="00EB1A2D"/>
    <w:rsid w:val="00EB793B"/>
    <w:rsid w:val="00ED1F09"/>
    <w:rsid w:val="00EF25E3"/>
    <w:rsid w:val="00EF6F7A"/>
    <w:rsid w:val="00F01CF8"/>
    <w:rsid w:val="00F14EF3"/>
    <w:rsid w:val="00F1743B"/>
    <w:rsid w:val="00F432E3"/>
    <w:rsid w:val="00F553AC"/>
    <w:rsid w:val="00F64558"/>
    <w:rsid w:val="00F64761"/>
    <w:rsid w:val="00F76B78"/>
    <w:rsid w:val="00F92C52"/>
    <w:rsid w:val="00FA32C1"/>
    <w:rsid w:val="00FC7A96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F5AED8"/>
  <w15:docId w15:val="{982122A5-D5FA-4BBC-B921-6F2B2AFD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02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0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D02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D02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02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02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02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02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02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02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02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D02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D0264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0264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0264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0264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0264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0264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02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0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02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02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0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0264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0264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0264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02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0264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02649"/>
    <w:rPr>
      <w:b/>
      <w:bCs/>
      <w:smallCaps/>
      <w:color w:val="0F4761" w:themeColor="accent1" w:themeShade="BF"/>
      <w:spacing w:val="5"/>
    </w:rPr>
  </w:style>
  <w:style w:type="character" w:customStyle="1" w:styleId="reference">
    <w:name w:val="reference"/>
    <w:basedOn w:val="Noklusjumarindkopasfonts"/>
    <w:rsid w:val="00D02649"/>
  </w:style>
  <w:style w:type="character" w:styleId="Hipersaite">
    <w:name w:val="Hyperlink"/>
    <w:basedOn w:val="Noklusjumarindkopasfonts"/>
    <w:uiPriority w:val="99"/>
    <w:unhideWhenUsed/>
    <w:rsid w:val="00D02649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D0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Izclums">
    <w:name w:val="Emphasis"/>
    <w:basedOn w:val="Noklusjumarindkopasfonts"/>
    <w:uiPriority w:val="20"/>
    <w:qFormat/>
    <w:rsid w:val="00D02649"/>
    <w:rPr>
      <w:i/>
      <w:iCs/>
    </w:rPr>
  </w:style>
  <w:style w:type="character" w:styleId="Vietturateksts">
    <w:name w:val="Placeholder Text"/>
    <w:basedOn w:val="Noklusjumarindkopasfonts"/>
    <w:uiPriority w:val="99"/>
    <w:semiHidden/>
    <w:rsid w:val="003F6093"/>
    <w:rPr>
      <w:color w:val="666666"/>
    </w:rPr>
  </w:style>
  <w:style w:type="paragraph" w:customStyle="1" w:styleId="p">
    <w:name w:val="p"/>
    <w:basedOn w:val="Parasts"/>
    <w:rsid w:val="0068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lement-citation">
    <w:name w:val="element-citation"/>
    <w:basedOn w:val="Noklusjumarindkopasfonts"/>
    <w:rsid w:val="00683534"/>
  </w:style>
  <w:style w:type="character" w:customStyle="1" w:styleId="ref-journal">
    <w:name w:val="ref-journal"/>
    <w:basedOn w:val="Noklusjumarindkopasfonts"/>
    <w:rsid w:val="00683534"/>
  </w:style>
  <w:style w:type="character" w:customStyle="1" w:styleId="ref-vol">
    <w:name w:val="ref-vol"/>
    <w:basedOn w:val="Noklusjumarindkopasfonts"/>
    <w:rsid w:val="00683534"/>
  </w:style>
  <w:style w:type="character" w:customStyle="1" w:styleId="nowrap">
    <w:name w:val="nowrap"/>
    <w:basedOn w:val="Noklusjumarindkopasfonts"/>
    <w:rsid w:val="00683534"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6E7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6E7D37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Noklusjumarindkopasfonts"/>
    <w:rsid w:val="006E7D37"/>
  </w:style>
  <w:style w:type="character" w:styleId="Izmantotahipersaite">
    <w:name w:val="FollowedHyperlink"/>
    <w:basedOn w:val="Noklusjumarindkopasfonts"/>
    <w:uiPriority w:val="99"/>
    <w:semiHidden/>
    <w:unhideWhenUsed/>
    <w:rsid w:val="003345E3"/>
    <w:rPr>
      <w:color w:val="96607D" w:themeColor="followed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345E3"/>
    <w:rPr>
      <w:color w:val="605E5C"/>
      <w:shd w:val="clear" w:color="auto" w:fill="E1DFDD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F14EF3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Saturs1">
    <w:name w:val="toc 1"/>
    <w:basedOn w:val="Parasts"/>
    <w:next w:val="Parasts"/>
    <w:autoRedefine/>
    <w:uiPriority w:val="39"/>
    <w:unhideWhenUsed/>
    <w:rsid w:val="00F14EF3"/>
    <w:pPr>
      <w:spacing w:before="120" w:after="0"/>
    </w:pPr>
    <w:rPr>
      <w:b/>
      <w:bCs/>
      <w:i/>
      <w:iCs/>
      <w:sz w:val="24"/>
      <w:szCs w:val="24"/>
    </w:rPr>
  </w:style>
  <w:style w:type="paragraph" w:styleId="Saturs2">
    <w:name w:val="toc 2"/>
    <w:basedOn w:val="Parasts"/>
    <w:next w:val="Parasts"/>
    <w:autoRedefine/>
    <w:uiPriority w:val="39"/>
    <w:unhideWhenUsed/>
    <w:rsid w:val="00F14EF3"/>
    <w:pPr>
      <w:spacing w:before="120" w:after="0"/>
      <w:ind w:left="220"/>
    </w:pPr>
    <w:rPr>
      <w:b/>
      <w:bCs/>
    </w:rPr>
  </w:style>
  <w:style w:type="paragraph" w:styleId="Saturs3">
    <w:name w:val="toc 3"/>
    <w:basedOn w:val="Parasts"/>
    <w:next w:val="Parasts"/>
    <w:autoRedefine/>
    <w:uiPriority w:val="39"/>
    <w:unhideWhenUsed/>
    <w:rsid w:val="00F14EF3"/>
    <w:pPr>
      <w:spacing w:after="0"/>
      <w:ind w:left="440"/>
    </w:pPr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3F75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F75B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F75B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F75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F75B5"/>
    <w:rPr>
      <w:b/>
      <w:bCs/>
      <w:sz w:val="20"/>
      <w:szCs w:val="20"/>
    </w:rPr>
  </w:style>
  <w:style w:type="character" w:customStyle="1" w:styleId="apple-converted-space">
    <w:name w:val="apple-converted-space"/>
    <w:basedOn w:val="Noklusjumarindkopasfonts"/>
    <w:rsid w:val="00C30608"/>
  </w:style>
  <w:style w:type="character" w:styleId="Izteiksmgs">
    <w:name w:val="Strong"/>
    <w:basedOn w:val="Noklusjumarindkopasfonts"/>
    <w:uiPriority w:val="22"/>
    <w:qFormat/>
    <w:rsid w:val="00C30608"/>
    <w:rPr>
      <w:b/>
      <w:bCs/>
    </w:rPr>
  </w:style>
  <w:style w:type="table" w:styleId="Reatabula">
    <w:name w:val="Table Grid"/>
    <w:basedOn w:val="Parastatabula"/>
    <w:uiPriority w:val="39"/>
    <w:rsid w:val="00C3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BB1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B1A5D"/>
  </w:style>
  <w:style w:type="paragraph" w:styleId="Kjene">
    <w:name w:val="footer"/>
    <w:basedOn w:val="Parasts"/>
    <w:link w:val="KjeneRakstz"/>
    <w:uiPriority w:val="99"/>
    <w:unhideWhenUsed/>
    <w:rsid w:val="00BB1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B1A5D"/>
  </w:style>
  <w:style w:type="paragraph" w:styleId="Saturs4">
    <w:name w:val="toc 4"/>
    <w:basedOn w:val="Parasts"/>
    <w:next w:val="Parasts"/>
    <w:autoRedefine/>
    <w:uiPriority w:val="39"/>
    <w:semiHidden/>
    <w:unhideWhenUsed/>
    <w:rsid w:val="006C5989"/>
    <w:pPr>
      <w:spacing w:after="0"/>
      <w:ind w:left="660"/>
    </w:pPr>
    <w:rPr>
      <w:sz w:val="20"/>
      <w:szCs w:val="20"/>
    </w:rPr>
  </w:style>
  <w:style w:type="paragraph" w:styleId="Saturs5">
    <w:name w:val="toc 5"/>
    <w:basedOn w:val="Parasts"/>
    <w:next w:val="Parasts"/>
    <w:autoRedefine/>
    <w:uiPriority w:val="39"/>
    <w:semiHidden/>
    <w:unhideWhenUsed/>
    <w:rsid w:val="006C5989"/>
    <w:pPr>
      <w:spacing w:after="0"/>
      <w:ind w:left="880"/>
    </w:pPr>
    <w:rPr>
      <w:sz w:val="20"/>
      <w:szCs w:val="20"/>
    </w:rPr>
  </w:style>
  <w:style w:type="paragraph" w:styleId="Saturs6">
    <w:name w:val="toc 6"/>
    <w:basedOn w:val="Parasts"/>
    <w:next w:val="Parasts"/>
    <w:autoRedefine/>
    <w:uiPriority w:val="39"/>
    <w:semiHidden/>
    <w:unhideWhenUsed/>
    <w:rsid w:val="006C5989"/>
    <w:pPr>
      <w:spacing w:after="0"/>
      <w:ind w:left="1100"/>
    </w:pPr>
    <w:rPr>
      <w:sz w:val="20"/>
      <w:szCs w:val="20"/>
    </w:rPr>
  </w:style>
  <w:style w:type="paragraph" w:styleId="Saturs7">
    <w:name w:val="toc 7"/>
    <w:basedOn w:val="Parasts"/>
    <w:next w:val="Parasts"/>
    <w:autoRedefine/>
    <w:uiPriority w:val="39"/>
    <w:semiHidden/>
    <w:unhideWhenUsed/>
    <w:rsid w:val="006C5989"/>
    <w:pPr>
      <w:spacing w:after="0"/>
      <w:ind w:left="1320"/>
    </w:pPr>
    <w:rPr>
      <w:sz w:val="20"/>
      <w:szCs w:val="20"/>
    </w:rPr>
  </w:style>
  <w:style w:type="paragraph" w:styleId="Saturs8">
    <w:name w:val="toc 8"/>
    <w:basedOn w:val="Parasts"/>
    <w:next w:val="Parasts"/>
    <w:autoRedefine/>
    <w:uiPriority w:val="39"/>
    <w:semiHidden/>
    <w:unhideWhenUsed/>
    <w:rsid w:val="006C5989"/>
    <w:pPr>
      <w:spacing w:after="0"/>
      <w:ind w:left="1540"/>
    </w:pPr>
    <w:rPr>
      <w:sz w:val="20"/>
      <w:szCs w:val="20"/>
    </w:rPr>
  </w:style>
  <w:style w:type="paragraph" w:styleId="Saturs9">
    <w:name w:val="toc 9"/>
    <w:basedOn w:val="Parasts"/>
    <w:next w:val="Parasts"/>
    <w:autoRedefine/>
    <w:uiPriority w:val="39"/>
    <w:semiHidden/>
    <w:unhideWhenUsed/>
    <w:rsid w:val="006C5989"/>
    <w:pPr>
      <w:spacing w:after="0"/>
      <w:ind w:left="1760"/>
    </w:pPr>
    <w:rPr>
      <w:sz w:val="20"/>
      <w:szCs w:val="20"/>
    </w:rPr>
  </w:style>
  <w:style w:type="paragraph" w:customStyle="1" w:styleId="Attribution">
    <w:name w:val="Attribution"/>
    <w:rsid w:val="00922D4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Graphik Semibold" w:eastAsia="Graphik Semibold" w:hAnsi="Graphik Semibold" w:cs="Graphik Semibold"/>
      <w:color w:val="000000"/>
      <w:spacing w:val="-13"/>
      <w:kern w:val="0"/>
      <w:sz w:val="46"/>
      <w:szCs w:val="46"/>
      <w:bdr w:val="nil"/>
      <w:lang w:val="lv-LV"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03F8"/>
    <w:rPr>
      <w:rFonts w:ascii="Tahoma" w:hAnsi="Tahoma" w:cs="Tahoma"/>
      <w:sz w:val="16"/>
      <w:szCs w:val="1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553AC"/>
    <w:rPr>
      <w:color w:val="605E5C"/>
      <w:shd w:val="clear" w:color="auto" w:fill="E1DFDD"/>
    </w:rPr>
  </w:style>
  <w:style w:type="paragraph" w:styleId="Veidlapasz-auga">
    <w:name w:val="HTML Top of Form"/>
    <w:basedOn w:val="Parasts"/>
    <w:next w:val="Parasts"/>
    <w:link w:val="Veidlapasz-augaRakstz"/>
    <w:hidden/>
    <w:uiPriority w:val="99"/>
    <w:semiHidden/>
    <w:unhideWhenUsed/>
    <w:rsid w:val="007C30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v-LV" w:eastAsia="lv-LV"/>
      <w14:ligatures w14:val="none"/>
    </w:rPr>
  </w:style>
  <w:style w:type="character" w:customStyle="1" w:styleId="Veidlapasz-augaRakstz">
    <w:name w:val="Veidlapas z-augša Rakstz."/>
    <w:basedOn w:val="Noklusjumarindkopasfonts"/>
    <w:link w:val="Veidlapasz-auga"/>
    <w:uiPriority w:val="99"/>
    <w:semiHidden/>
    <w:rsid w:val="007C3068"/>
    <w:rPr>
      <w:rFonts w:ascii="Arial" w:eastAsia="Times New Roman" w:hAnsi="Arial" w:cs="Arial"/>
      <w:vanish/>
      <w:kern w:val="0"/>
      <w:sz w:val="16"/>
      <w:szCs w:val="16"/>
      <w:lang w:val="lv-LV" w:eastAsia="lv-LV"/>
      <w14:ligatures w14:val="none"/>
    </w:rPr>
  </w:style>
  <w:style w:type="character" w:customStyle="1" w:styleId="download-title">
    <w:name w:val="download-title"/>
    <w:basedOn w:val="Noklusjumarindkopasfonts"/>
    <w:rsid w:val="007C3068"/>
  </w:style>
  <w:style w:type="paragraph" w:styleId="Veidlapasz-apaka">
    <w:name w:val="HTML Bottom of Form"/>
    <w:basedOn w:val="Parasts"/>
    <w:next w:val="Parasts"/>
    <w:link w:val="Veidlapasz-apakaRakstz"/>
    <w:hidden/>
    <w:uiPriority w:val="99"/>
    <w:semiHidden/>
    <w:unhideWhenUsed/>
    <w:rsid w:val="007C30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v-LV" w:eastAsia="lv-LV"/>
      <w14:ligatures w14:val="none"/>
    </w:rPr>
  </w:style>
  <w:style w:type="character" w:customStyle="1" w:styleId="Veidlapasz-apakaRakstz">
    <w:name w:val="Veidlapas z-apakša Rakstz."/>
    <w:basedOn w:val="Noklusjumarindkopasfonts"/>
    <w:link w:val="Veidlapasz-apaka"/>
    <w:uiPriority w:val="99"/>
    <w:semiHidden/>
    <w:rsid w:val="007C3068"/>
    <w:rPr>
      <w:rFonts w:ascii="Arial" w:eastAsia="Times New Roman" w:hAnsi="Arial" w:cs="Arial"/>
      <w:vanish/>
      <w:kern w:val="0"/>
      <w:sz w:val="16"/>
      <w:szCs w:val="16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38/nrgastro.2014.66" TargetMode="External"/><Relationship Id="rId18" Type="http://schemas.openxmlformats.org/officeDocument/2006/relationships/hyperlink" Target="https://doi.org/10.1111/apt.1334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3389/falgy.2024.14586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02/14651858.cd004827.pub2" TargetMode="External"/><Relationship Id="rId17" Type="http://schemas.openxmlformats.org/officeDocument/2006/relationships/hyperlink" Target="https://doi.org/10.1097/mpg.000000000000363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097/mpg.0000000000001081" TargetMode="External"/><Relationship Id="rId20" Type="http://schemas.openxmlformats.org/officeDocument/2006/relationships/hyperlink" Target="https://doi.org/10.1007/s12325-024-02783-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2/14651858.cd004827.pub5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698/mic2016.07.514" TargetMode="External"/><Relationship Id="rId23" Type="http://schemas.openxmlformats.org/officeDocument/2006/relationships/hyperlink" Target="https://doi.org/10.1016/j.jpeds.2016.11.027" TargetMode="External"/><Relationship Id="rId10" Type="http://schemas.openxmlformats.org/officeDocument/2006/relationships/hyperlink" Target="https://doi.org/10.1016/j.jinf.2022.01.005" TargetMode="External"/><Relationship Id="rId19" Type="http://schemas.openxmlformats.org/officeDocument/2006/relationships/hyperlink" Target="https://doi.org/10.1097/00005176-200307000-00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36/gutjnl-2020-323071" TargetMode="External"/><Relationship Id="rId14" Type="http://schemas.openxmlformats.org/officeDocument/2006/relationships/hyperlink" Target="https://doi.org/10.1097/inf.0000000000003994" TargetMode="External"/><Relationship Id="rId22" Type="http://schemas.openxmlformats.org/officeDocument/2006/relationships/hyperlink" Target="https://doi.org/10.1016/j.jinf.2019.10.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10670-97C7-49BD-B1D6-EEFD4816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15</Pages>
  <Words>2980</Words>
  <Characters>22491</Characters>
  <Application>Microsoft Office Word</Application>
  <DocSecurity>0</DocSecurity>
  <Lines>187</Lines>
  <Paragraphs>50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Antibiotiku izraisīta caureja bērnieM</vt:lpstr>
      <vt:lpstr>Antibiotiku izraisīta caureja bērnieM</vt:lpstr>
    </vt:vector>
  </TitlesOfParts>
  <Company/>
  <LinksUpToDate>false</LinksUpToDate>
  <CharactersWithSpaces>25421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Antibiotiku izraisīta caureja bērnieM</dc:title>
  <dc:creator>Ilva Daugule</dc:creator>
  <cp:lastModifiedBy>Arnis Daugulis</cp:lastModifiedBy>
  <cp:revision>7</cp:revision>
  <cp:lastPrinted>2025-11-19T11:23:00Z</cp:lastPrinted>
  <dcterms:created xsi:type="dcterms:W3CDTF">2025-12-03T13:47:00Z</dcterms:created>
  <dcterms:modified xsi:type="dcterms:W3CDTF">2025-12-03T15:32:00Z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d6cb217e-833e-473d-8ab5-07d4249ac5b3</vt:lpwstr>
  </property>
</Properties>
</file>