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115E" w14:textId="05E3876A" w:rsidR="00990F38" w:rsidRDefault="00990F38" w:rsidP="00990F38">
      <w:pPr>
        <w:spacing w:after="0" w:line="240" w:lineRule="auto"/>
        <w:contextualSpacing/>
        <w:jc w:val="center"/>
        <w:rPr>
          <w:rFonts w:ascii="Times New Roman" w:eastAsia="Times New Roman" w:hAnsi="Times New Roman" w:cs="Times New Roman"/>
          <w:b/>
          <w:bCs/>
        </w:rPr>
      </w:pPr>
      <w:r w:rsidRPr="37249B6F">
        <w:rPr>
          <w:rFonts w:ascii="Times New Roman" w:eastAsia="Times New Roman" w:hAnsi="Times New Roman" w:cs="Times New Roman"/>
          <w:b/>
          <w:bCs/>
        </w:rPr>
        <w:t>Par</w:t>
      </w:r>
      <w:r w:rsidRPr="6FDF1EAD">
        <w:rPr>
          <w:rFonts w:ascii="Times New Roman" w:eastAsia="Times New Roman" w:hAnsi="Times New Roman" w:cs="Times New Roman"/>
          <w:b/>
          <w:bCs/>
        </w:rPr>
        <w:t xml:space="preserve"> izmaiņām valsts apmaksātā vakcinācijā pret cilvēka papilomas vīrusa (CPV) infekciju</w:t>
      </w:r>
    </w:p>
    <w:p w14:paraId="2487338B" w14:textId="77777777" w:rsidR="00990F38" w:rsidRDefault="00990F38" w:rsidP="00990F38">
      <w:pPr>
        <w:spacing w:after="0" w:line="240" w:lineRule="auto"/>
        <w:contextualSpacing/>
        <w:jc w:val="center"/>
        <w:rPr>
          <w:rFonts w:ascii="Times New Roman" w:eastAsia="Times New Roman" w:hAnsi="Times New Roman" w:cs="Times New Roman"/>
          <w:b/>
          <w:bCs/>
        </w:rPr>
      </w:pPr>
    </w:p>
    <w:p w14:paraId="71D120A7" w14:textId="77777777" w:rsidR="00990F38" w:rsidRDefault="00990F38" w:rsidP="00990F38">
      <w:pPr>
        <w:spacing w:after="0" w:line="240" w:lineRule="auto"/>
        <w:contextualSpacing/>
        <w:jc w:val="center"/>
        <w:rPr>
          <w:rFonts w:ascii="Times New Roman" w:eastAsia="Times New Roman" w:hAnsi="Times New Roman" w:cs="Times New Roman"/>
          <w:b/>
          <w:bCs/>
        </w:rPr>
      </w:pPr>
      <w:r w:rsidRPr="37249B6F">
        <w:rPr>
          <w:rFonts w:ascii="Times New Roman" w:eastAsia="Times New Roman" w:hAnsi="Times New Roman" w:cs="Times New Roman"/>
          <w:b/>
          <w:bCs/>
        </w:rPr>
        <w:t>Informācija ārstniecības iestādēm</w:t>
      </w:r>
    </w:p>
    <w:p w14:paraId="7EDE999B" w14:textId="77777777" w:rsidR="00990F38" w:rsidRDefault="00990F38" w:rsidP="00990F38">
      <w:pPr>
        <w:spacing w:after="0" w:line="240" w:lineRule="auto"/>
        <w:contextualSpacing/>
        <w:rPr>
          <w:rFonts w:ascii="Times New Roman" w:eastAsia="Times New Roman" w:hAnsi="Times New Roman" w:cs="Times New Roman"/>
        </w:rPr>
      </w:pPr>
    </w:p>
    <w:p w14:paraId="3CB7C1BA" w14:textId="77777777" w:rsidR="00990F38" w:rsidRPr="00D67CD2" w:rsidRDefault="00990F38" w:rsidP="00990F38">
      <w:pPr>
        <w:spacing w:after="0" w:line="240" w:lineRule="auto"/>
        <w:contextualSpacing/>
        <w:rPr>
          <w:rFonts w:eastAsia="Times New Roman" w:cstheme="majorBidi"/>
          <w:i/>
          <w:iCs/>
          <w:szCs w:val="24"/>
        </w:rPr>
      </w:pPr>
      <w:r w:rsidRPr="088A96D1">
        <w:rPr>
          <w:rFonts w:ascii="Times New Roman" w:eastAsia="Times New Roman" w:hAnsi="Times New Roman" w:cs="Times New Roman"/>
        </w:rPr>
        <w:t xml:space="preserve">Iepriekš valsts apmaksātu vakcināciju pret CPV infekciju saņēma meitenes un zēni 12 gadu vecumā saskaņā </w:t>
      </w:r>
      <w:r w:rsidRPr="00D67CD2">
        <w:rPr>
          <w:rFonts w:eastAsia="Times New Roman" w:cstheme="majorBidi"/>
          <w:szCs w:val="24"/>
        </w:rPr>
        <w:t xml:space="preserve">ar bērnu vakcinācijas kalendāru un valsts garantēja iespēju vakcinēties līdz 17 gadu vecumam (ieskaitot) bērniem, kuri nav laikus vakcinējušies. </w:t>
      </w:r>
      <w:r w:rsidRPr="00D67CD2">
        <w:rPr>
          <w:rFonts w:eastAsia="Times New Roman" w:cstheme="majorBidi"/>
          <w:b/>
          <w:bCs/>
          <w:szCs w:val="24"/>
        </w:rPr>
        <w:t xml:space="preserve">Bērnu vakcinācija un vakcīnu pasūtīšana notiek nemainītā kārtībā. </w:t>
      </w:r>
    </w:p>
    <w:p w14:paraId="708FBE21" w14:textId="77777777" w:rsidR="00990F38" w:rsidRPr="00D67CD2" w:rsidRDefault="00990F38" w:rsidP="00990F38">
      <w:pPr>
        <w:spacing w:after="0" w:line="240" w:lineRule="auto"/>
        <w:contextualSpacing/>
        <w:rPr>
          <w:rFonts w:eastAsia="Times New Roman" w:cstheme="majorBidi"/>
          <w:b/>
          <w:bCs/>
          <w:szCs w:val="24"/>
        </w:rPr>
      </w:pPr>
    </w:p>
    <w:p w14:paraId="557DF5B8" w14:textId="77777777" w:rsidR="00990F38" w:rsidRPr="00D67CD2" w:rsidRDefault="00990F38" w:rsidP="00990F38">
      <w:pPr>
        <w:spacing w:after="0" w:line="240" w:lineRule="auto"/>
        <w:contextualSpacing/>
        <w:rPr>
          <w:rFonts w:eastAsia="Times New Roman" w:cstheme="majorBidi"/>
          <w:b/>
          <w:bCs/>
          <w:szCs w:val="24"/>
        </w:rPr>
      </w:pPr>
      <w:r w:rsidRPr="00D67CD2">
        <w:rPr>
          <w:rFonts w:eastAsia="Times New Roman" w:cstheme="majorBidi"/>
          <w:b/>
          <w:bCs/>
          <w:szCs w:val="24"/>
        </w:rPr>
        <w:t xml:space="preserve">Paplašinātās vakcinācijas iespējas (prioritārās iedzīvotāju grupas) </w:t>
      </w:r>
    </w:p>
    <w:p w14:paraId="5C4865E4" w14:textId="745753AC" w:rsidR="00990F38" w:rsidRPr="00DE005F" w:rsidRDefault="00990F38" w:rsidP="00990F38">
      <w:pPr>
        <w:spacing w:after="0" w:line="240" w:lineRule="auto"/>
        <w:contextualSpacing/>
        <w:rPr>
          <w:rFonts w:eastAsia="Times New Roman" w:cstheme="majorBidi"/>
          <w:szCs w:val="24"/>
        </w:rPr>
      </w:pPr>
      <w:r w:rsidRPr="00D67CD2">
        <w:rPr>
          <w:rFonts w:eastAsia="Times New Roman" w:cstheme="majorBidi"/>
          <w:szCs w:val="24"/>
        </w:rPr>
        <w:t>Atbilstoši grozījumiem normatīvajā regulējumā</w:t>
      </w:r>
      <w:r w:rsidRPr="00D67CD2">
        <w:rPr>
          <w:rStyle w:val="FootnoteReference"/>
          <w:rFonts w:eastAsia="Times New Roman" w:cstheme="majorBidi"/>
          <w:szCs w:val="24"/>
        </w:rPr>
        <w:footnoteReference w:id="1"/>
      </w:r>
      <w:r w:rsidRPr="00D67CD2">
        <w:rPr>
          <w:rFonts w:eastAsia="Times New Roman" w:cstheme="majorBidi"/>
          <w:szCs w:val="24"/>
        </w:rPr>
        <w:t xml:space="preserve"> ir paplašinātas vakcinācijas iespējas, paredzot valsts apmaksātu vakcināciju šādiem iedzīvotājiem, </w:t>
      </w:r>
      <w:r w:rsidRPr="00D67CD2">
        <w:rPr>
          <w:rFonts w:eastAsia="Times New Roman" w:cstheme="majorBidi"/>
          <w:b/>
          <w:bCs/>
          <w:szCs w:val="24"/>
        </w:rPr>
        <w:t xml:space="preserve">kuri iepriekš </w:t>
      </w:r>
      <w:r w:rsidR="000327BC" w:rsidRPr="00D67CD2">
        <w:rPr>
          <w:rFonts w:eastAsia="Times New Roman" w:cstheme="majorBidi"/>
          <w:b/>
          <w:bCs/>
          <w:szCs w:val="24"/>
        </w:rPr>
        <w:t xml:space="preserve">nav </w:t>
      </w:r>
      <w:r w:rsidRPr="00D67CD2">
        <w:rPr>
          <w:rFonts w:eastAsia="Times New Roman" w:cstheme="majorBidi"/>
          <w:b/>
          <w:bCs/>
          <w:szCs w:val="24"/>
        </w:rPr>
        <w:t xml:space="preserve">vakcinēti pret CPV infekciju </w:t>
      </w:r>
      <w:r w:rsidRPr="00D67CD2">
        <w:rPr>
          <w:rFonts w:eastAsia="Times New Roman" w:cstheme="majorBidi"/>
          <w:szCs w:val="24"/>
        </w:rPr>
        <w:t>(</w:t>
      </w:r>
      <w:r w:rsidRPr="00D67CD2">
        <w:rPr>
          <w:rFonts w:eastAsia="Times New Roman" w:cstheme="majorBidi"/>
          <w:b/>
          <w:bCs/>
          <w:szCs w:val="24"/>
        </w:rPr>
        <w:t xml:space="preserve">uzskaitītas prioritārā </w:t>
      </w:r>
      <w:r w:rsidRPr="00DE005F">
        <w:rPr>
          <w:rFonts w:eastAsia="Times New Roman" w:cstheme="majorBidi"/>
          <w:b/>
          <w:bCs/>
          <w:szCs w:val="24"/>
        </w:rPr>
        <w:t>secībā, kādā ir jāveic vakcinācija atbilstoši vakcīnas pieejamībai</w:t>
      </w:r>
      <w:r w:rsidRPr="00DE005F">
        <w:rPr>
          <w:rFonts w:eastAsia="Times New Roman" w:cstheme="majorBidi"/>
          <w:szCs w:val="24"/>
        </w:rPr>
        <w:t xml:space="preserve">): </w:t>
      </w:r>
    </w:p>
    <w:p w14:paraId="6079B1B2" w14:textId="77777777" w:rsidR="00990F38" w:rsidRPr="00DE005F" w:rsidRDefault="00990F38" w:rsidP="00990F38">
      <w:pPr>
        <w:pStyle w:val="ListParagraph"/>
        <w:numPr>
          <w:ilvl w:val="0"/>
          <w:numId w:val="1"/>
        </w:numPr>
        <w:spacing w:after="0" w:line="240" w:lineRule="auto"/>
        <w:rPr>
          <w:rFonts w:eastAsia="Times New Roman" w:cstheme="majorBidi"/>
          <w:szCs w:val="24"/>
        </w:rPr>
      </w:pPr>
      <w:r w:rsidRPr="00DE005F">
        <w:rPr>
          <w:rFonts w:eastAsia="Times New Roman" w:cstheme="majorBidi"/>
          <w:b/>
          <w:bCs/>
          <w:szCs w:val="24"/>
        </w:rPr>
        <w:t>grupa:</w:t>
      </w:r>
      <w:r w:rsidRPr="00DE005F">
        <w:rPr>
          <w:rFonts w:eastAsia="Times New Roman" w:cstheme="majorBidi"/>
          <w:szCs w:val="24"/>
        </w:rPr>
        <w:t xml:space="preserve"> paaugstinātam riskam pakļautie iedzīvotāji:</w:t>
      </w:r>
    </w:p>
    <w:p w14:paraId="13E3FCF5" w14:textId="209D591F" w:rsidR="00DE005F" w:rsidRPr="00DE005F" w:rsidRDefault="00DE005F" w:rsidP="00DE005F">
      <w:pPr>
        <w:pStyle w:val="ListParagraph"/>
        <w:numPr>
          <w:ilvl w:val="0"/>
          <w:numId w:val="2"/>
        </w:numPr>
        <w:spacing w:after="0" w:line="240" w:lineRule="auto"/>
        <w:jc w:val="left"/>
        <w:rPr>
          <w:rFonts w:eastAsia="Times New Roman" w:cstheme="majorBidi"/>
          <w:szCs w:val="24"/>
          <w:lang w:eastAsia="lv-LV"/>
        </w:rPr>
      </w:pPr>
      <w:r w:rsidRPr="00DE005F">
        <w:rPr>
          <w:rFonts w:eastAsia="Times New Roman" w:cstheme="majorBidi"/>
          <w:szCs w:val="24"/>
          <w:lang w:eastAsia="lv-LV"/>
        </w:rPr>
        <w:t>sievietes no 18 līdz 55 gadiem ar dzemdes kakla adenokarcinomu in situ (AIS) un pirms vai pēc dzemdes kakla vidējas/smagas pakāpes displāzijas (HSIL) ķirurģiskas ārstēšanas;</w:t>
      </w:r>
    </w:p>
    <w:p w14:paraId="4CB63484" w14:textId="31F80BA8" w:rsidR="00286F80" w:rsidRDefault="00286F80" w:rsidP="00286F80">
      <w:pPr>
        <w:pStyle w:val="ListParagraph"/>
        <w:numPr>
          <w:ilvl w:val="0"/>
          <w:numId w:val="2"/>
        </w:numPr>
        <w:spacing w:after="0" w:line="240" w:lineRule="auto"/>
        <w:jc w:val="left"/>
        <w:rPr>
          <w:rFonts w:eastAsia="Times New Roman" w:cstheme="majorBidi"/>
          <w:szCs w:val="24"/>
          <w:lang w:eastAsia="lv-LV"/>
        </w:rPr>
      </w:pPr>
      <w:r w:rsidRPr="00DE005F">
        <w:rPr>
          <w:rFonts w:eastAsia="Times New Roman" w:cstheme="majorBidi"/>
          <w:szCs w:val="24"/>
          <w:lang w:eastAsia="lv-LV"/>
        </w:rPr>
        <w:t>sieviet</w:t>
      </w:r>
      <w:r w:rsidR="00D67CD2" w:rsidRPr="00DE005F">
        <w:rPr>
          <w:rFonts w:eastAsia="Times New Roman" w:cstheme="majorBidi"/>
          <w:szCs w:val="24"/>
          <w:lang w:eastAsia="lv-LV"/>
        </w:rPr>
        <w:t>e</w:t>
      </w:r>
      <w:r w:rsidRPr="00DE005F">
        <w:rPr>
          <w:rFonts w:eastAsia="Times New Roman" w:cstheme="majorBidi"/>
          <w:szCs w:val="24"/>
          <w:lang w:eastAsia="lv-LV"/>
        </w:rPr>
        <w:t>s no 18</w:t>
      </w:r>
      <w:r w:rsidR="00D67CD2" w:rsidRPr="00DE005F">
        <w:rPr>
          <w:rFonts w:eastAsia="Times New Roman" w:cstheme="majorBidi"/>
          <w:szCs w:val="24"/>
          <w:lang w:eastAsia="lv-LV"/>
        </w:rPr>
        <w:t xml:space="preserve"> līdz </w:t>
      </w:r>
      <w:r w:rsidRPr="00DE005F">
        <w:rPr>
          <w:rFonts w:eastAsia="Times New Roman" w:cstheme="majorBidi"/>
          <w:szCs w:val="24"/>
          <w:lang w:eastAsia="lv-LV"/>
        </w:rPr>
        <w:t>45</w:t>
      </w:r>
      <w:r w:rsidR="00D67CD2" w:rsidRPr="00DE005F">
        <w:rPr>
          <w:rFonts w:eastAsia="Times New Roman" w:cstheme="majorBidi"/>
          <w:szCs w:val="24"/>
          <w:lang w:eastAsia="lv-LV"/>
        </w:rPr>
        <w:t xml:space="preserve"> gadiem</w:t>
      </w:r>
      <w:r w:rsidRPr="00DE005F">
        <w:rPr>
          <w:rFonts w:eastAsia="Times New Roman" w:cstheme="majorBidi"/>
          <w:szCs w:val="24"/>
          <w:lang w:eastAsia="lv-LV"/>
        </w:rPr>
        <w:t xml:space="preserve"> ar priekšvēža izmaiņām - CIN 2/3 (dzemdes kakls), VaIN 2/3 (maksts), VIN 2/3 (vulva) un AIN 2/3 (anālais kanāls);</w:t>
      </w:r>
    </w:p>
    <w:p w14:paraId="27A0319F" w14:textId="3873D07F" w:rsidR="00286F80" w:rsidRPr="00DE005F" w:rsidRDefault="00286F80" w:rsidP="00286F80">
      <w:pPr>
        <w:pStyle w:val="ListParagraph"/>
        <w:numPr>
          <w:ilvl w:val="0"/>
          <w:numId w:val="2"/>
        </w:numPr>
        <w:spacing w:after="0" w:line="240" w:lineRule="auto"/>
        <w:rPr>
          <w:rFonts w:ascii="Times New Roman" w:eastAsia="Times New Roman" w:hAnsi="Times New Roman" w:cs="Times New Roman"/>
        </w:rPr>
      </w:pPr>
      <w:r w:rsidRPr="00DE005F">
        <w:rPr>
          <w:rFonts w:eastAsia="Times New Roman" w:cstheme="majorBidi"/>
          <w:szCs w:val="24"/>
        </w:rPr>
        <w:t xml:space="preserve">sievietes un vīrieši no 18 </w:t>
      </w:r>
      <w:r w:rsidRPr="00DE005F">
        <w:rPr>
          <w:rFonts w:eastAsia="Times New Roman" w:cstheme="majorBidi"/>
          <w:color w:val="000000" w:themeColor="text1"/>
          <w:szCs w:val="24"/>
        </w:rPr>
        <w:t>līdz</w:t>
      </w:r>
      <w:r w:rsidRPr="00DE005F">
        <w:rPr>
          <w:rFonts w:ascii="Times New Roman" w:eastAsia="Times New Roman" w:hAnsi="Times New Roman" w:cs="Times New Roman"/>
          <w:color w:val="000000" w:themeColor="text1"/>
        </w:rPr>
        <w:t xml:space="preserve"> 45 g</w:t>
      </w:r>
      <w:r w:rsidRPr="00DE005F">
        <w:rPr>
          <w:rFonts w:ascii="Times New Roman" w:eastAsia="Times New Roman" w:hAnsi="Times New Roman" w:cs="Times New Roman"/>
        </w:rPr>
        <w:t>adiem ar imūnsupresiju bez HIV infekcijas;</w:t>
      </w:r>
    </w:p>
    <w:p w14:paraId="51CD12D3" w14:textId="2EE1EF63" w:rsidR="00A23B59" w:rsidRPr="00A23B59" w:rsidRDefault="00A23B59" w:rsidP="00A23B59">
      <w:pPr>
        <w:pStyle w:val="ListParagraph"/>
        <w:numPr>
          <w:ilvl w:val="0"/>
          <w:numId w:val="2"/>
        </w:numPr>
        <w:spacing w:after="0" w:line="240" w:lineRule="auto"/>
        <w:rPr>
          <w:rFonts w:ascii="Times New Roman" w:eastAsia="Times New Roman" w:hAnsi="Times New Roman" w:cs="Times New Roman"/>
          <w:szCs w:val="24"/>
        </w:rPr>
      </w:pPr>
      <w:r w:rsidRPr="00DE005F">
        <w:rPr>
          <w:rFonts w:ascii="Times New Roman" w:eastAsia="Times New Roman" w:hAnsi="Times New Roman" w:cs="Times New Roman"/>
        </w:rPr>
        <w:t>sievietes un vīrieši no 18 līdz 45 gadiem</w:t>
      </w:r>
      <w:r w:rsidRPr="088A96D1">
        <w:rPr>
          <w:rFonts w:ascii="Times New Roman" w:eastAsia="Times New Roman" w:hAnsi="Times New Roman" w:cs="Times New Roman"/>
        </w:rPr>
        <w:t xml:space="preserve"> ar HIV infekciju;</w:t>
      </w:r>
    </w:p>
    <w:p w14:paraId="7783BE24" w14:textId="77777777" w:rsidR="00990F38" w:rsidRPr="00B53FC9" w:rsidRDefault="00990F38" w:rsidP="00990F38">
      <w:pPr>
        <w:pStyle w:val="ListParagraph"/>
        <w:numPr>
          <w:ilvl w:val="0"/>
          <w:numId w:val="1"/>
        </w:numPr>
        <w:spacing w:after="0" w:line="240" w:lineRule="auto"/>
        <w:rPr>
          <w:rFonts w:ascii="Times New Roman" w:eastAsia="Times New Roman" w:hAnsi="Times New Roman" w:cs="Times New Roman"/>
          <w:szCs w:val="24"/>
        </w:rPr>
      </w:pPr>
      <w:r w:rsidRPr="00367936">
        <w:rPr>
          <w:rFonts w:ascii="Times New Roman" w:eastAsia="Times New Roman" w:hAnsi="Times New Roman" w:cs="Times New Roman"/>
          <w:b/>
          <w:bCs/>
        </w:rPr>
        <w:t>grupa:</w:t>
      </w:r>
      <w:r w:rsidRPr="088A96D1">
        <w:rPr>
          <w:rFonts w:ascii="Times New Roman" w:eastAsia="Times New Roman" w:hAnsi="Times New Roman" w:cs="Times New Roman"/>
        </w:rPr>
        <w:t xml:space="preserve"> sievietes un vīrieši 25 gadu vecumā; </w:t>
      </w:r>
    </w:p>
    <w:p w14:paraId="142257A7" w14:textId="50F69532" w:rsidR="00990F38" w:rsidRPr="00B53FC9" w:rsidRDefault="00990F38" w:rsidP="00990F38">
      <w:pPr>
        <w:pStyle w:val="ListParagraph"/>
        <w:numPr>
          <w:ilvl w:val="0"/>
          <w:numId w:val="1"/>
        </w:numPr>
        <w:spacing w:after="0" w:line="240" w:lineRule="auto"/>
        <w:rPr>
          <w:rFonts w:ascii="Times New Roman" w:eastAsia="Times New Roman" w:hAnsi="Times New Roman" w:cs="Times New Roman"/>
        </w:rPr>
      </w:pPr>
      <w:r w:rsidRPr="00367936">
        <w:rPr>
          <w:rFonts w:ascii="Times New Roman" w:eastAsia="Times New Roman" w:hAnsi="Times New Roman" w:cs="Times New Roman"/>
          <w:b/>
          <w:bCs/>
        </w:rPr>
        <w:t>grupa:</w:t>
      </w:r>
      <w:r w:rsidRPr="75172E95">
        <w:rPr>
          <w:rFonts w:ascii="Times New Roman" w:eastAsia="Times New Roman" w:hAnsi="Times New Roman" w:cs="Times New Roman"/>
        </w:rPr>
        <w:t xml:space="preserve"> sievietes un vīrieši vecumā no 18 līdz 24 gadiem</w:t>
      </w:r>
      <w:r w:rsidR="007E41A4">
        <w:rPr>
          <w:rFonts w:ascii="Times New Roman" w:eastAsia="Times New Roman" w:hAnsi="Times New Roman" w:cs="Times New Roman"/>
        </w:rPr>
        <w:t xml:space="preserve"> (ieskaitot)</w:t>
      </w:r>
      <w:r w:rsidRPr="75172E95">
        <w:rPr>
          <w:rFonts w:ascii="Times New Roman" w:eastAsia="Times New Roman" w:hAnsi="Times New Roman" w:cs="Times New Roman"/>
        </w:rPr>
        <w:t>.</w:t>
      </w:r>
    </w:p>
    <w:p w14:paraId="04895CCA" w14:textId="77777777" w:rsidR="00990F38" w:rsidRPr="00992E8F" w:rsidRDefault="00990F38" w:rsidP="00990F38">
      <w:pPr>
        <w:spacing w:after="0" w:line="240" w:lineRule="auto"/>
        <w:contextualSpacing/>
        <w:rPr>
          <w:rFonts w:ascii="Times New Roman" w:eastAsia="Times New Roman" w:hAnsi="Times New Roman" w:cs="Times New Roman"/>
          <w:szCs w:val="24"/>
        </w:rPr>
      </w:pPr>
    </w:p>
    <w:p w14:paraId="24B970ED" w14:textId="77777777" w:rsidR="00990F38" w:rsidRDefault="00990F38" w:rsidP="00990F38">
      <w:pPr>
        <w:spacing w:after="0" w:line="240" w:lineRule="auto"/>
        <w:contextualSpacing/>
        <w:rPr>
          <w:rFonts w:ascii="Times New Roman" w:eastAsia="Times New Roman" w:hAnsi="Times New Roman" w:cs="Times New Roman"/>
        </w:rPr>
      </w:pPr>
      <w:r w:rsidRPr="495457B5">
        <w:rPr>
          <w:rFonts w:ascii="Times New Roman" w:eastAsia="Times New Roman" w:hAnsi="Times New Roman" w:cs="Times New Roman"/>
        </w:rPr>
        <w:t>Aicinām ģimenes ārstus un citas iesaistītās ārstniecības personas apzināt minēto grupu pacientus, informēt par vakcinācijas iespēju un skaidrot tās nozīmi. Ja ģimenes ārsta vai cita speciālista praksē vakcināciju pret CPV infekciju neveic, tad ģimenes ārsts vai ārsts speciālists sagatavo nosūtījumu vakcinācijas veikšanai, norādot indikāciju vakcinācijas veikšanai: “</w:t>
      </w:r>
      <w:r w:rsidRPr="495457B5">
        <w:rPr>
          <w:rFonts w:ascii="Times New Roman" w:eastAsia="Times New Roman" w:hAnsi="Times New Roman" w:cs="Times New Roman"/>
          <w:i/>
          <w:iCs/>
        </w:rPr>
        <w:t>Rekomendēta vakcinācija pret CPV infekciju, jo persona pieder paaugstināta riska grupai</w:t>
      </w:r>
      <w:r w:rsidRPr="495457B5">
        <w:rPr>
          <w:rFonts w:ascii="Times New Roman" w:eastAsia="Times New Roman" w:hAnsi="Times New Roman" w:cs="Times New Roman"/>
        </w:rPr>
        <w:t>”.</w:t>
      </w:r>
    </w:p>
    <w:p w14:paraId="792DE8C5" w14:textId="77777777" w:rsidR="00990F38" w:rsidRPr="00992E8F" w:rsidRDefault="00990F38" w:rsidP="00990F38">
      <w:pPr>
        <w:spacing w:after="0" w:line="240" w:lineRule="auto"/>
        <w:contextualSpacing/>
        <w:rPr>
          <w:rFonts w:ascii="Times New Roman" w:eastAsia="Times New Roman" w:hAnsi="Times New Roman" w:cs="Times New Roman"/>
        </w:rPr>
      </w:pPr>
    </w:p>
    <w:p w14:paraId="7147C201" w14:textId="77777777" w:rsidR="00990F38" w:rsidRDefault="00990F38" w:rsidP="00990F38">
      <w:pPr>
        <w:spacing w:after="0" w:line="240" w:lineRule="auto"/>
        <w:contextualSpacing/>
        <w:rPr>
          <w:rFonts w:ascii="Times New Roman" w:eastAsia="Times New Roman" w:hAnsi="Times New Roman" w:cs="Times New Roman"/>
          <w:b/>
          <w:bCs/>
        </w:rPr>
      </w:pPr>
      <w:r w:rsidRPr="00992E8F">
        <w:rPr>
          <w:rFonts w:ascii="Times New Roman" w:eastAsia="Times New Roman" w:hAnsi="Times New Roman" w:cs="Times New Roman"/>
          <w:b/>
          <w:bCs/>
        </w:rPr>
        <w:t>Vakcinācijas shēma</w:t>
      </w:r>
      <w:r w:rsidRPr="2FFF6C33">
        <w:rPr>
          <w:rFonts w:ascii="Times New Roman" w:eastAsia="Times New Roman" w:hAnsi="Times New Roman" w:cs="Times New Roman"/>
          <w:b/>
          <w:bCs/>
        </w:rPr>
        <w:t xml:space="preserve"> </w:t>
      </w:r>
      <w:r w:rsidRPr="16C72ED1">
        <w:rPr>
          <w:rFonts w:ascii="Times New Roman" w:eastAsia="Times New Roman" w:hAnsi="Times New Roman" w:cs="Times New Roman"/>
          <w:b/>
          <w:bCs/>
        </w:rPr>
        <w:t>pret CPV</w:t>
      </w:r>
      <w:r w:rsidRPr="7BCE41C0">
        <w:rPr>
          <w:rFonts w:ascii="Times New Roman" w:eastAsia="Times New Roman" w:hAnsi="Times New Roman" w:cs="Times New Roman"/>
          <w:b/>
          <w:bCs/>
        </w:rPr>
        <w:t xml:space="preserve"> </w:t>
      </w:r>
      <w:r w:rsidRPr="500DBDA2">
        <w:rPr>
          <w:rFonts w:ascii="Times New Roman" w:eastAsia="Times New Roman" w:hAnsi="Times New Roman" w:cs="Times New Roman"/>
          <w:b/>
          <w:bCs/>
        </w:rPr>
        <w:t>infekciju</w:t>
      </w:r>
    </w:p>
    <w:p w14:paraId="68EA84B1" w14:textId="39A38D91" w:rsidR="00990F38" w:rsidRDefault="00990F38" w:rsidP="00990F38">
      <w:pPr>
        <w:spacing w:after="0" w:line="240" w:lineRule="auto"/>
        <w:contextualSpacing/>
        <w:rPr>
          <w:rFonts w:ascii="Times New Roman" w:eastAsia="Times New Roman" w:hAnsi="Times New Roman" w:cs="Times New Roman"/>
        </w:rPr>
      </w:pPr>
      <w:r w:rsidRPr="4CDC8516">
        <w:rPr>
          <w:rFonts w:ascii="Times New Roman" w:eastAsia="Times New Roman" w:hAnsi="Times New Roman" w:cs="Times New Roman"/>
        </w:rPr>
        <w:t>Iepriekš nevakcinētām personām</w:t>
      </w:r>
      <w:r w:rsidRPr="6FDF1EAD">
        <w:rPr>
          <w:rFonts w:ascii="Times New Roman" w:eastAsia="Times New Roman" w:hAnsi="Times New Roman" w:cs="Times New Roman"/>
        </w:rPr>
        <w:t xml:space="preserve"> CPV vakcīnu jāsaņem 2 devas ar vismaz 6 mēnešu intervālu starp vakcīnas devām. Personām ar noteiktiem imūnsupresīviem stāvokļiem rekomendēts ievadīt 3 devas secīgi 0., pēc 1</w:t>
      </w:r>
      <w:r w:rsidRPr="495457B5">
        <w:rPr>
          <w:rFonts w:ascii="Times New Roman" w:eastAsia="Times New Roman" w:hAnsi="Times New Roman" w:cs="Times New Roman"/>
          <w:sz w:val="22"/>
        </w:rPr>
        <w:t>–</w:t>
      </w:r>
      <w:r w:rsidRPr="6FDF1EAD">
        <w:rPr>
          <w:rFonts w:ascii="Times New Roman" w:eastAsia="Times New Roman" w:hAnsi="Times New Roman" w:cs="Times New Roman"/>
        </w:rPr>
        <w:t>2 mēnešiem un pēc 6</w:t>
      </w:r>
      <w:r w:rsidRPr="495457B5">
        <w:rPr>
          <w:rFonts w:ascii="Times New Roman" w:eastAsia="Times New Roman" w:hAnsi="Times New Roman" w:cs="Times New Roman"/>
          <w:sz w:val="22"/>
        </w:rPr>
        <w:t>–</w:t>
      </w:r>
      <w:r w:rsidR="00745251">
        <w:rPr>
          <w:rFonts w:ascii="Times New Roman" w:eastAsia="Times New Roman" w:hAnsi="Times New Roman" w:cs="Times New Roman"/>
          <w:sz w:val="22"/>
        </w:rPr>
        <w:t>1</w:t>
      </w:r>
      <w:r w:rsidRPr="6FDF1EAD">
        <w:rPr>
          <w:rFonts w:ascii="Times New Roman" w:eastAsia="Times New Roman" w:hAnsi="Times New Roman" w:cs="Times New Roman"/>
        </w:rPr>
        <w:t>2 mēnešiem (starp pirmo un otro devu minimālais intervāls 4 nedēļas, starp otro un trešo devu minimālais intervāls 12 nedēļas, starp pirmo un trešo devu minimālais intervāls 5 mēneši)</w:t>
      </w:r>
      <w:r w:rsidRPr="6FDF1EAD">
        <w:rPr>
          <w:rStyle w:val="FootnoteReference"/>
          <w:rFonts w:ascii="Times New Roman" w:eastAsia="Times New Roman" w:hAnsi="Times New Roman" w:cs="Times New Roman"/>
        </w:rPr>
        <w:footnoteReference w:id="2"/>
      </w:r>
      <w:r w:rsidRPr="6FDF1EAD">
        <w:rPr>
          <w:rFonts w:ascii="Times New Roman" w:eastAsia="Times New Roman" w:hAnsi="Times New Roman" w:cs="Times New Roman"/>
        </w:rPr>
        <w:t>.</w:t>
      </w:r>
    </w:p>
    <w:p w14:paraId="07F15C89" w14:textId="77777777" w:rsidR="00990F38" w:rsidRPr="00992E8F" w:rsidRDefault="00990F38" w:rsidP="00990F38">
      <w:pPr>
        <w:spacing w:after="0" w:line="240" w:lineRule="auto"/>
        <w:contextualSpacing/>
        <w:rPr>
          <w:rFonts w:ascii="Times New Roman" w:eastAsia="Times New Roman" w:hAnsi="Times New Roman" w:cs="Times New Roman"/>
        </w:rPr>
      </w:pPr>
    </w:p>
    <w:p w14:paraId="5177AC44" w14:textId="77777777" w:rsidR="00990F38" w:rsidRDefault="00990F38" w:rsidP="00990F38">
      <w:pPr>
        <w:spacing w:after="0" w:line="240" w:lineRule="auto"/>
        <w:contextualSpacing/>
        <w:rPr>
          <w:rFonts w:ascii="Times New Roman" w:eastAsia="Times New Roman" w:hAnsi="Times New Roman" w:cs="Times New Roman"/>
        </w:rPr>
      </w:pPr>
      <w:r w:rsidRPr="088A96D1">
        <w:rPr>
          <w:rFonts w:ascii="Times New Roman" w:eastAsia="Times New Roman" w:hAnsi="Times New Roman" w:cs="Times New Roman"/>
        </w:rPr>
        <w:t xml:space="preserve">Valsts apmaksāts vakcinācijas kurss pret CPV infekciju </w:t>
      </w:r>
      <w:r w:rsidRPr="088A96D1">
        <w:rPr>
          <w:rFonts w:ascii="Times New Roman" w:eastAsia="Times New Roman" w:hAnsi="Times New Roman" w:cs="Times New Roman"/>
          <w:b/>
          <w:bCs/>
          <w:u w:val="single"/>
        </w:rPr>
        <w:t>tiek pabeigts</w:t>
      </w:r>
      <w:r w:rsidRPr="088A96D1">
        <w:rPr>
          <w:rFonts w:ascii="Times New Roman" w:eastAsia="Times New Roman" w:hAnsi="Times New Roman" w:cs="Times New Roman"/>
        </w:rPr>
        <w:t xml:space="preserve"> arī tad, ja vakcinējamās personas vecums 2. vai 3. potes ievadīšanas laikā jau pārsniedz vecumu, kurā tiek nodrošināta valsts apmaksāta vakcinācija (</w:t>
      </w:r>
      <w:r w:rsidRPr="088A96D1">
        <w:rPr>
          <w:rFonts w:ascii="Times New Roman" w:eastAsia="Times New Roman" w:hAnsi="Times New Roman" w:cs="Times New Roman"/>
          <w:i/>
          <w:iCs/>
        </w:rPr>
        <w:t xml:space="preserve">piemēram, ja persona saņem 1. devu savā noteiktā vecumā </w:t>
      </w:r>
      <w:r w:rsidRPr="088A96D1">
        <w:rPr>
          <w:rFonts w:ascii="Times New Roman" w:eastAsia="Times New Roman" w:hAnsi="Times New Roman" w:cs="Times New Roman"/>
          <w:sz w:val="22"/>
        </w:rPr>
        <w:t xml:space="preserve"> –</w:t>
      </w:r>
      <w:r w:rsidRPr="088A96D1">
        <w:rPr>
          <w:rFonts w:ascii="Times New Roman" w:eastAsia="Times New Roman" w:hAnsi="Times New Roman" w:cs="Times New Roman"/>
          <w:i/>
          <w:iCs/>
        </w:rPr>
        <w:t xml:space="preserve"> 25 </w:t>
      </w:r>
      <w:r w:rsidRPr="088A96D1">
        <w:rPr>
          <w:rFonts w:ascii="Times New Roman" w:eastAsia="Times New Roman" w:hAnsi="Times New Roman" w:cs="Times New Roman"/>
          <w:i/>
          <w:iCs/>
        </w:rPr>
        <w:lastRenderedPageBreak/>
        <w:t xml:space="preserve">gadi, bet līdz 2. devas saņemšanai personai paliek 26 gadi </w:t>
      </w:r>
      <w:r w:rsidRPr="088A96D1">
        <w:rPr>
          <w:rFonts w:ascii="Times New Roman" w:eastAsia="Times New Roman" w:hAnsi="Times New Roman" w:cs="Times New Roman"/>
          <w:sz w:val="22"/>
        </w:rPr>
        <w:t xml:space="preserve"> –</w:t>
      </w:r>
      <w:r w:rsidRPr="088A96D1">
        <w:rPr>
          <w:rFonts w:ascii="Times New Roman" w:eastAsia="Times New Roman" w:hAnsi="Times New Roman" w:cs="Times New Roman"/>
          <w:i/>
          <w:iCs/>
        </w:rPr>
        <w:t xml:space="preserve"> arī šajā gadījumā vakcinācijas kurss </w:t>
      </w:r>
      <w:r w:rsidRPr="088A96D1">
        <w:rPr>
          <w:rFonts w:ascii="Times New Roman" w:eastAsia="Times New Roman" w:hAnsi="Times New Roman" w:cs="Times New Roman"/>
          <w:i/>
          <w:iCs/>
          <w:u w:val="single"/>
        </w:rPr>
        <w:t>tiek pabeigts</w:t>
      </w:r>
      <w:r w:rsidRPr="088A96D1">
        <w:rPr>
          <w:rFonts w:ascii="Times New Roman" w:eastAsia="Times New Roman" w:hAnsi="Times New Roman" w:cs="Times New Roman"/>
          <w:i/>
          <w:iCs/>
        </w:rPr>
        <w:t xml:space="preserve"> no valsts apmaksātiem līdzekļiem</w:t>
      </w:r>
      <w:r w:rsidRPr="088A96D1">
        <w:rPr>
          <w:rFonts w:ascii="Times New Roman" w:eastAsia="Times New Roman" w:hAnsi="Times New Roman" w:cs="Times New Roman"/>
        </w:rPr>
        <w:t xml:space="preserve">). </w:t>
      </w:r>
    </w:p>
    <w:p w14:paraId="771884E4" w14:textId="77777777" w:rsidR="00990F38" w:rsidRPr="00992E8F" w:rsidRDefault="00990F38" w:rsidP="00990F38">
      <w:pPr>
        <w:spacing w:after="0" w:line="240" w:lineRule="auto"/>
        <w:contextualSpacing/>
        <w:rPr>
          <w:rFonts w:ascii="Times New Roman" w:eastAsia="Times New Roman" w:hAnsi="Times New Roman" w:cs="Times New Roman"/>
        </w:rPr>
      </w:pPr>
    </w:p>
    <w:p w14:paraId="02AF1704" w14:textId="77777777" w:rsidR="00990F38" w:rsidRPr="00992E8F" w:rsidRDefault="00990F38" w:rsidP="00990F38">
      <w:pPr>
        <w:spacing w:after="0" w:line="240" w:lineRule="auto"/>
        <w:contextualSpacing/>
        <w:rPr>
          <w:rFonts w:ascii="Times New Roman" w:eastAsia="Times New Roman" w:hAnsi="Times New Roman" w:cs="Times New Roman"/>
          <w:b/>
          <w:bCs/>
        </w:rPr>
      </w:pPr>
      <w:r w:rsidRPr="088A96D1">
        <w:rPr>
          <w:rFonts w:ascii="Times New Roman" w:eastAsia="Times New Roman" w:hAnsi="Times New Roman" w:cs="Times New Roman"/>
          <w:b/>
          <w:bCs/>
        </w:rPr>
        <w:t>Pieejamais vakcīnas apjoms un  pasūtīšanas kārtība</w:t>
      </w:r>
    </w:p>
    <w:p w14:paraId="1212B56B" w14:textId="77777777" w:rsidR="00990F38" w:rsidRDefault="00990F38" w:rsidP="00990F38">
      <w:pPr>
        <w:spacing w:after="0" w:line="240" w:lineRule="auto"/>
        <w:contextualSpacing/>
        <w:rPr>
          <w:rFonts w:ascii="Times New Roman" w:eastAsia="Times New Roman" w:hAnsi="Times New Roman" w:cs="Times New Roman"/>
        </w:rPr>
      </w:pPr>
      <w:r w:rsidRPr="088A96D1">
        <w:rPr>
          <w:rFonts w:ascii="Times New Roman" w:eastAsia="Times New Roman" w:hAnsi="Times New Roman" w:cs="Times New Roman"/>
        </w:rPr>
        <w:t xml:space="preserve">Katrai vakcinācijas iestādei </w:t>
      </w:r>
      <w:r w:rsidRPr="088A96D1">
        <w:rPr>
          <w:rFonts w:ascii="Times New Roman" w:eastAsia="Times New Roman" w:hAnsi="Times New Roman" w:cs="Times New Roman"/>
          <w:b/>
          <w:bCs/>
        </w:rPr>
        <w:t>paplašinātās vakcinācijas nodrošināšanai 2025. gadā</w:t>
      </w:r>
      <w:r w:rsidRPr="088A96D1">
        <w:rPr>
          <w:rFonts w:ascii="Times New Roman" w:eastAsia="Times New Roman" w:hAnsi="Times New Roman" w:cs="Times New Roman"/>
        </w:rPr>
        <w:t xml:space="preserve"> ir pieejams papildu vakcīnas apjoms, kas ir ekvivalents vidējam viena mēneša vakcīnas pasūtījumam.</w:t>
      </w:r>
    </w:p>
    <w:p w14:paraId="72C68FDB" w14:textId="77777777" w:rsidR="00990F38" w:rsidRPr="00992E8F" w:rsidRDefault="00990F38" w:rsidP="00990F38">
      <w:pPr>
        <w:spacing w:after="0" w:line="240" w:lineRule="auto"/>
        <w:contextualSpacing/>
        <w:rPr>
          <w:rFonts w:ascii="Times New Roman" w:eastAsia="Times New Roman" w:hAnsi="Times New Roman" w:cs="Times New Roman"/>
        </w:rPr>
      </w:pPr>
    </w:p>
    <w:p w14:paraId="4689A810" w14:textId="77777777" w:rsidR="00990F38" w:rsidRDefault="00990F38" w:rsidP="00990F38">
      <w:pPr>
        <w:spacing w:after="0" w:line="240" w:lineRule="auto"/>
        <w:contextualSpacing/>
        <w:rPr>
          <w:rFonts w:ascii="Times New Roman" w:eastAsia="Times New Roman" w:hAnsi="Times New Roman" w:cs="Times New Roman"/>
        </w:rPr>
      </w:pPr>
      <w:r w:rsidRPr="4AF315E0">
        <w:rPr>
          <w:rFonts w:ascii="Times New Roman" w:eastAsia="Times New Roman" w:hAnsi="Times New Roman" w:cs="Times New Roman"/>
        </w:rPr>
        <w:t xml:space="preserve">Aicinām vakcinācijas iestādes laikus </w:t>
      </w:r>
      <w:r w:rsidRPr="37249B6F">
        <w:rPr>
          <w:rFonts w:ascii="Times New Roman" w:eastAsia="Times New Roman" w:hAnsi="Times New Roman" w:cs="Times New Roman"/>
        </w:rPr>
        <w:t xml:space="preserve">(līdz šī gada 15. oktobrim) </w:t>
      </w:r>
      <w:r w:rsidRPr="4AF315E0">
        <w:rPr>
          <w:rFonts w:ascii="Times New Roman" w:eastAsia="Times New Roman" w:hAnsi="Times New Roman" w:cs="Times New Roman"/>
        </w:rPr>
        <w:t xml:space="preserve">nodrošināt vakcīnas pret CPV infekciju pasūtīšanu </w:t>
      </w:r>
      <w:r w:rsidRPr="37249B6F">
        <w:rPr>
          <w:rFonts w:ascii="Times New Roman" w:eastAsia="Times New Roman" w:hAnsi="Times New Roman" w:cs="Times New Roman"/>
        </w:rPr>
        <w:t xml:space="preserve">paplašinātās vakcinācijas veikšanai 2025. gadā. </w:t>
      </w:r>
    </w:p>
    <w:p w14:paraId="2A01500C" w14:textId="77777777" w:rsidR="00990F38" w:rsidRDefault="00990F38" w:rsidP="00990F38">
      <w:pPr>
        <w:spacing w:after="0" w:line="240" w:lineRule="auto"/>
        <w:contextualSpacing/>
        <w:rPr>
          <w:rFonts w:ascii="Times New Roman" w:eastAsia="Times New Roman" w:hAnsi="Times New Roman" w:cs="Times New Roman"/>
        </w:rPr>
      </w:pPr>
    </w:p>
    <w:p w14:paraId="0F6894DC" w14:textId="77777777" w:rsidR="00990F38" w:rsidRPr="0033340B" w:rsidRDefault="00990F38" w:rsidP="00990F38">
      <w:pPr>
        <w:spacing w:after="0" w:line="240" w:lineRule="auto"/>
        <w:contextualSpacing/>
        <w:rPr>
          <w:rFonts w:ascii="Times New Roman" w:eastAsia="Times New Roman" w:hAnsi="Times New Roman" w:cs="Times New Roman"/>
          <w:b/>
          <w:bCs/>
        </w:rPr>
      </w:pPr>
      <w:r w:rsidRPr="0033340B">
        <w:rPr>
          <w:rFonts w:ascii="Times New Roman" w:eastAsia="Times New Roman" w:hAnsi="Times New Roman" w:cs="Times New Roman"/>
          <w:b/>
          <w:bCs/>
        </w:rPr>
        <w:t>Par vakcinācijas faktu reģistrāciju</w:t>
      </w:r>
    </w:p>
    <w:p w14:paraId="3A236DC0" w14:textId="77777777" w:rsidR="00990F38" w:rsidRDefault="00990F38" w:rsidP="00990F38">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Atgādinām, ka v</w:t>
      </w:r>
      <w:r w:rsidRPr="406F79B2">
        <w:rPr>
          <w:rFonts w:ascii="Times New Roman" w:eastAsia="Times New Roman" w:hAnsi="Times New Roman" w:cs="Times New Roman"/>
        </w:rPr>
        <w:t>akcinācijas fakti par visām veiktajām vakcinācijām ir jāievada Vienotās veselības nozares elektroniskajā informācijas sistēmā noteiktajā kārtībā</w:t>
      </w:r>
      <w:r>
        <w:rPr>
          <w:rStyle w:val="FootnoteReference"/>
          <w:rFonts w:ascii="Times New Roman" w:eastAsia="Times New Roman" w:hAnsi="Times New Roman" w:cs="Times New Roman"/>
        </w:rPr>
        <w:footnoteReference w:id="3"/>
      </w:r>
      <w:r>
        <w:rPr>
          <w:rFonts w:ascii="Times New Roman" w:eastAsia="Times New Roman" w:hAnsi="Times New Roman" w:cs="Times New Roman"/>
        </w:rPr>
        <w:t>.</w:t>
      </w:r>
    </w:p>
    <w:p w14:paraId="7C363091" w14:textId="77777777" w:rsidR="00990F38" w:rsidRDefault="00990F38" w:rsidP="00990F38">
      <w:pPr>
        <w:spacing w:after="0" w:line="240" w:lineRule="auto"/>
        <w:contextualSpacing/>
        <w:rPr>
          <w:rFonts w:ascii="Times New Roman" w:eastAsia="Times New Roman" w:hAnsi="Times New Roman" w:cs="Times New Roman"/>
        </w:rPr>
      </w:pPr>
    </w:p>
    <w:p w14:paraId="45F2385D" w14:textId="77777777" w:rsidR="00990F38" w:rsidRDefault="00990F38" w:rsidP="00990F38">
      <w:pPr>
        <w:spacing w:after="0" w:line="240" w:lineRule="auto"/>
        <w:contextualSpacing/>
        <w:rPr>
          <w:rFonts w:ascii="Times New Roman" w:eastAsia="Times New Roman" w:hAnsi="Times New Roman" w:cs="Times New Roman"/>
        </w:rPr>
      </w:pPr>
      <w:r w:rsidRPr="088A96D1">
        <w:rPr>
          <w:rFonts w:ascii="Times New Roman" w:eastAsia="Times New Roman" w:hAnsi="Times New Roman" w:cs="Times New Roman"/>
        </w:rPr>
        <w:t>Veicot vakcinācijas pret CPV infekciju faktu ievadi Vienotās veselības nozares elektroniskajā informācijas sistēmā, atsevišķi atzīmē kādu no piedāvātajām indikācijām:</w:t>
      </w:r>
    </w:p>
    <w:p w14:paraId="78693434" w14:textId="77777777" w:rsidR="00990F38" w:rsidRDefault="00990F38" w:rsidP="00990F38">
      <w:pPr>
        <w:pStyle w:val="ListParagraph"/>
        <w:numPr>
          <w:ilvl w:val="0"/>
          <w:numId w:val="3"/>
        </w:numPr>
        <w:spacing w:after="0" w:line="240" w:lineRule="auto"/>
        <w:rPr>
          <w:rFonts w:ascii="Times New Roman" w:eastAsia="Times New Roman" w:hAnsi="Times New Roman" w:cs="Times New Roman"/>
          <w:i/>
          <w:iCs/>
          <w:szCs w:val="24"/>
        </w:rPr>
      </w:pPr>
      <w:r w:rsidRPr="088A96D1">
        <w:rPr>
          <w:rFonts w:ascii="Times New Roman" w:eastAsia="Times New Roman" w:hAnsi="Times New Roman" w:cs="Times New Roman"/>
          <w:i/>
          <w:iCs/>
          <w:szCs w:val="24"/>
        </w:rPr>
        <w:t xml:space="preserve">plānveida vakcinācija (pēc vakcinācijas kalendāra) - </w:t>
      </w:r>
      <w:r w:rsidRPr="088A96D1">
        <w:rPr>
          <w:rFonts w:ascii="Times New Roman" w:eastAsia="Times New Roman" w:hAnsi="Times New Roman" w:cs="Times New Roman"/>
          <w:szCs w:val="24"/>
        </w:rPr>
        <w:t>attiecas uz vakcināciju līdz 25 gadiem;</w:t>
      </w:r>
    </w:p>
    <w:p w14:paraId="7704A8B9" w14:textId="77777777" w:rsidR="00990F38" w:rsidRDefault="00990F38" w:rsidP="00990F38">
      <w:pPr>
        <w:pStyle w:val="ListParagraph"/>
        <w:numPr>
          <w:ilvl w:val="0"/>
          <w:numId w:val="3"/>
        </w:numPr>
        <w:spacing w:after="0" w:line="240" w:lineRule="auto"/>
        <w:rPr>
          <w:rFonts w:ascii="Times New Roman" w:eastAsia="Times New Roman" w:hAnsi="Times New Roman" w:cs="Times New Roman"/>
          <w:szCs w:val="24"/>
        </w:rPr>
      </w:pPr>
      <w:r w:rsidRPr="088A96D1">
        <w:rPr>
          <w:rFonts w:ascii="Times New Roman" w:eastAsia="Times New Roman" w:hAnsi="Times New Roman" w:cs="Times New Roman"/>
          <w:i/>
          <w:iCs/>
        </w:rPr>
        <w:t>paaugstināta riska grupa</w:t>
      </w:r>
      <w:r w:rsidRPr="088A96D1">
        <w:rPr>
          <w:rFonts w:ascii="Times New Roman" w:eastAsia="Times New Roman" w:hAnsi="Times New Roman" w:cs="Times New Roman"/>
        </w:rPr>
        <w:t xml:space="preserve"> - paaugstinātam riskam pakļautie iedzīvotāji;</w:t>
      </w:r>
    </w:p>
    <w:p w14:paraId="08C9A889" w14:textId="77777777" w:rsidR="00990F38" w:rsidRDefault="00990F38" w:rsidP="00990F38">
      <w:pPr>
        <w:numPr>
          <w:ilvl w:val="0"/>
          <w:numId w:val="3"/>
        </w:numPr>
        <w:spacing w:after="0" w:line="240" w:lineRule="auto"/>
        <w:rPr>
          <w:rFonts w:ascii="Times New Roman" w:eastAsia="Times New Roman" w:hAnsi="Times New Roman" w:cs="Times New Roman"/>
        </w:rPr>
      </w:pPr>
      <w:r w:rsidRPr="088A96D1">
        <w:rPr>
          <w:rFonts w:ascii="Times New Roman" w:eastAsia="Times New Roman" w:hAnsi="Times New Roman" w:cs="Times New Roman"/>
          <w:i/>
          <w:iCs/>
        </w:rPr>
        <w:t>Ukrainas iedzīvotājs</w:t>
      </w:r>
      <w:r w:rsidRPr="088A96D1">
        <w:rPr>
          <w:rFonts w:ascii="Times New Roman" w:eastAsia="Times New Roman" w:hAnsi="Times New Roman" w:cs="Times New Roman"/>
        </w:rPr>
        <w:t xml:space="preserve"> (Ukrainas pilsoņiem pienākas valsts apmaksāta vakcinācija tādā pašā kārtībā kā Latvijas iedzīvotājiem).</w:t>
      </w:r>
    </w:p>
    <w:p w14:paraId="3B5355D4" w14:textId="77777777" w:rsidR="00990F38" w:rsidRDefault="00990F38" w:rsidP="00990F38">
      <w:pPr>
        <w:spacing w:after="0" w:line="240" w:lineRule="auto"/>
        <w:rPr>
          <w:rFonts w:ascii="Times New Roman" w:eastAsia="Times New Roman" w:hAnsi="Times New Roman" w:cs="Times New Roman"/>
        </w:rPr>
      </w:pPr>
    </w:p>
    <w:tbl>
      <w:tblPr>
        <w:tblStyle w:val="TableGrid"/>
        <w:tblW w:w="0" w:type="auto"/>
        <w:tblBorders>
          <w:top w:val="single" w:sz="24" w:space="0" w:color="C00000"/>
          <w:left w:val="single" w:sz="24" w:space="0" w:color="C00000"/>
          <w:bottom w:val="single" w:sz="24" w:space="0" w:color="C00000"/>
          <w:right w:val="single" w:sz="24" w:space="0" w:color="C00000"/>
          <w:insideH w:val="none" w:sz="0" w:space="0" w:color="auto"/>
          <w:insideV w:val="none" w:sz="0" w:space="0" w:color="auto"/>
        </w:tblBorders>
        <w:tblLook w:val="04A0" w:firstRow="1" w:lastRow="0" w:firstColumn="1" w:lastColumn="0" w:noHBand="0" w:noVBand="1"/>
      </w:tblPr>
      <w:tblGrid>
        <w:gridCol w:w="9300"/>
      </w:tblGrid>
      <w:tr w:rsidR="00990F38" w14:paraId="1E11713A" w14:textId="77777777" w:rsidTr="0069346B">
        <w:tc>
          <w:tcPr>
            <w:tcW w:w="9350" w:type="dxa"/>
          </w:tcPr>
          <w:p w14:paraId="0710797D" w14:textId="006DBFFF" w:rsidR="00990F38" w:rsidRPr="00990F38" w:rsidRDefault="00990F38" w:rsidP="0069346B">
            <w:pPr>
              <w:spacing w:line="240" w:lineRule="auto"/>
              <w:contextualSpacing/>
              <w:rPr>
                <w:rFonts w:ascii="Times New Roman" w:eastAsia="Times New Roman" w:hAnsi="Times New Roman" w:cs="Times New Roman"/>
                <w:b/>
                <w:bCs/>
                <w:color w:val="FF0000"/>
                <w:lang w:val="lv-LV"/>
              </w:rPr>
            </w:pPr>
            <w:r w:rsidRPr="00990F38">
              <w:rPr>
                <w:rFonts w:ascii="Times New Roman" w:eastAsia="Times New Roman" w:hAnsi="Times New Roman" w:cs="Times New Roman"/>
                <w:b/>
                <w:bCs/>
                <w:color w:val="FF0000"/>
                <w:lang w:val="lv-LV"/>
              </w:rPr>
              <w:t xml:space="preserve">Lūgums ņemt vērā, ka vakcīnas pret CPV infekciju daudzums iepirkts atbilstoši pieejamajam finansējumam. Tāpēc </w:t>
            </w:r>
            <w:r w:rsidR="004D020D">
              <w:rPr>
                <w:rFonts w:ascii="Times New Roman" w:eastAsia="Times New Roman" w:hAnsi="Times New Roman" w:cs="Times New Roman"/>
                <w:b/>
                <w:bCs/>
                <w:color w:val="FF0000"/>
                <w:lang w:val="lv-LV"/>
              </w:rPr>
              <w:t xml:space="preserve">vakcinācijā </w:t>
            </w:r>
            <w:r w:rsidRPr="00990F38">
              <w:rPr>
                <w:rFonts w:ascii="Times New Roman" w:eastAsia="Times New Roman" w:hAnsi="Times New Roman" w:cs="Times New Roman"/>
                <w:b/>
                <w:bCs/>
                <w:color w:val="FF0000"/>
                <w:lang w:val="lv-LV"/>
              </w:rPr>
              <w:t>ir</w:t>
            </w:r>
            <w:r w:rsidR="004D020D">
              <w:rPr>
                <w:rFonts w:ascii="Times New Roman" w:eastAsia="Times New Roman" w:hAnsi="Times New Roman" w:cs="Times New Roman"/>
                <w:b/>
                <w:bCs/>
                <w:color w:val="FF0000"/>
                <w:lang w:val="lv-LV"/>
              </w:rPr>
              <w:t xml:space="preserve"> svarīgi</w:t>
            </w:r>
            <w:r w:rsidRPr="00990F38">
              <w:rPr>
                <w:rFonts w:ascii="Times New Roman" w:eastAsia="Times New Roman" w:hAnsi="Times New Roman" w:cs="Times New Roman"/>
                <w:b/>
                <w:bCs/>
                <w:color w:val="FF0000"/>
                <w:lang w:val="lv-LV"/>
              </w:rPr>
              <w:t xml:space="preserve"> ievērot prioritār</w:t>
            </w:r>
            <w:r w:rsidR="000327BC">
              <w:rPr>
                <w:rFonts w:ascii="Times New Roman" w:eastAsia="Times New Roman" w:hAnsi="Times New Roman" w:cs="Times New Roman"/>
                <w:b/>
                <w:bCs/>
                <w:color w:val="FF0000"/>
                <w:lang w:val="lv-LV"/>
              </w:rPr>
              <w:t>o</w:t>
            </w:r>
            <w:r w:rsidRPr="00990F38">
              <w:rPr>
                <w:rFonts w:ascii="Times New Roman" w:eastAsia="Times New Roman" w:hAnsi="Times New Roman" w:cs="Times New Roman"/>
                <w:b/>
                <w:bCs/>
                <w:color w:val="FF0000"/>
                <w:lang w:val="lv-LV"/>
              </w:rPr>
              <w:t xml:space="preserve"> secīb</w:t>
            </w:r>
            <w:r w:rsidR="000327BC">
              <w:rPr>
                <w:rFonts w:ascii="Times New Roman" w:eastAsia="Times New Roman" w:hAnsi="Times New Roman" w:cs="Times New Roman"/>
                <w:b/>
                <w:bCs/>
                <w:color w:val="FF0000"/>
                <w:lang w:val="lv-LV"/>
              </w:rPr>
              <w:t>u</w:t>
            </w:r>
            <w:r w:rsidRPr="00990F38">
              <w:rPr>
                <w:rFonts w:ascii="Times New Roman" w:eastAsia="Times New Roman" w:hAnsi="Times New Roman" w:cs="Times New Roman"/>
                <w:b/>
                <w:bCs/>
                <w:color w:val="FF0000"/>
                <w:lang w:val="lv-LV"/>
              </w:rPr>
              <w:t xml:space="preserve"> un vakcinēt vispirms paaugstinātam riskam pakļautos iedzīvotājus, tad sievietes un vīriešus 25 gadu vecumā un tikai pēc tam sievietes un vīriešus vecumā no 18 līdz 24 gadiem.</w:t>
            </w:r>
          </w:p>
        </w:tc>
      </w:tr>
    </w:tbl>
    <w:p w14:paraId="1E31761E" w14:textId="77777777" w:rsidR="00990F38" w:rsidRDefault="00990F38" w:rsidP="00990F38">
      <w:pPr>
        <w:spacing w:after="0" w:line="240" w:lineRule="auto"/>
        <w:contextualSpacing/>
        <w:rPr>
          <w:rFonts w:ascii="Times New Roman" w:eastAsia="Times New Roman" w:hAnsi="Times New Roman" w:cs="Times New Roman"/>
        </w:rPr>
      </w:pPr>
    </w:p>
    <w:p w14:paraId="6A8D31A4" w14:textId="77777777" w:rsidR="00990F38" w:rsidRPr="00992E8F" w:rsidRDefault="00990F38" w:rsidP="00990F38">
      <w:pPr>
        <w:spacing w:after="0" w:line="240" w:lineRule="auto"/>
        <w:contextualSpacing/>
        <w:rPr>
          <w:rFonts w:ascii="Times New Roman" w:eastAsia="Times New Roman" w:hAnsi="Times New Roman" w:cs="Times New Roman"/>
          <w:b/>
          <w:bCs/>
        </w:rPr>
      </w:pPr>
      <w:r w:rsidRPr="01B39304">
        <w:rPr>
          <w:rFonts w:ascii="Times New Roman" w:eastAsia="Times New Roman" w:hAnsi="Times New Roman" w:cs="Times New Roman"/>
          <w:b/>
          <w:bCs/>
        </w:rPr>
        <w:t>Papildu</w:t>
      </w:r>
      <w:r w:rsidRPr="00992E8F">
        <w:rPr>
          <w:rFonts w:ascii="Times New Roman" w:eastAsia="Times New Roman" w:hAnsi="Times New Roman" w:cs="Times New Roman"/>
          <w:b/>
          <w:bCs/>
        </w:rPr>
        <w:t xml:space="preserve"> informācija </w:t>
      </w:r>
      <w:r w:rsidRPr="01B39304">
        <w:rPr>
          <w:rFonts w:ascii="Times New Roman" w:eastAsia="Times New Roman" w:hAnsi="Times New Roman" w:cs="Times New Roman"/>
          <w:b/>
          <w:bCs/>
        </w:rPr>
        <w:t>un atbalsts</w:t>
      </w:r>
    </w:p>
    <w:p w14:paraId="45B64B20" w14:textId="77777777" w:rsidR="00990F38" w:rsidRDefault="00990F38" w:rsidP="00990F38">
      <w:pPr>
        <w:spacing w:after="0" w:line="240" w:lineRule="auto"/>
        <w:contextualSpacing/>
        <w:rPr>
          <w:rFonts w:ascii="Times New Roman" w:eastAsia="Times New Roman" w:hAnsi="Times New Roman" w:cs="Times New Roman"/>
        </w:rPr>
      </w:pPr>
      <w:r w:rsidRPr="01B39304">
        <w:rPr>
          <w:rFonts w:ascii="Times New Roman" w:eastAsia="Times New Roman" w:hAnsi="Times New Roman" w:cs="Times New Roman"/>
        </w:rPr>
        <w:t>Vairāk info</w:t>
      </w:r>
      <w:r>
        <w:rPr>
          <w:rFonts w:ascii="Times New Roman" w:eastAsia="Times New Roman" w:hAnsi="Times New Roman" w:cs="Times New Roman"/>
        </w:rPr>
        <w:t>rmācijas</w:t>
      </w:r>
      <w:r w:rsidRPr="01B39304">
        <w:rPr>
          <w:rFonts w:ascii="Times New Roman" w:eastAsia="Times New Roman" w:hAnsi="Times New Roman" w:cs="Times New Roman"/>
        </w:rPr>
        <w:t xml:space="preserve"> par CPV un veiksmīgas komunikācijas veidošan</w:t>
      </w:r>
      <w:r>
        <w:rPr>
          <w:rFonts w:ascii="Times New Roman" w:eastAsia="Times New Roman" w:hAnsi="Times New Roman" w:cs="Times New Roman"/>
        </w:rPr>
        <w:t>u</w:t>
      </w:r>
      <w:r w:rsidRPr="01B39304">
        <w:rPr>
          <w:rFonts w:ascii="Times New Roman" w:eastAsia="Times New Roman" w:hAnsi="Times New Roman" w:cs="Times New Roman"/>
        </w:rPr>
        <w:t xml:space="preserve"> ar pacientiem varat </w:t>
      </w:r>
      <w:r>
        <w:rPr>
          <w:rFonts w:ascii="Times New Roman" w:eastAsia="Times New Roman" w:hAnsi="Times New Roman" w:cs="Times New Roman"/>
        </w:rPr>
        <w:t>atrast</w:t>
      </w:r>
      <w:r w:rsidRPr="01B39304">
        <w:rPr>
          <w:rFonts w:ascii="Times New Roman" w:eastAsia="Times New Roman" w:hAnsi="Times New Roman" w:cs="Times New Roman"/>
        </w:rPr>
        <w:t xml:space="preserve">: </w:t>
      </w:r>
      <w:hyperlink r:id="rId7">
        <w:r w:rsidRPr="01B39304">
          <w:rPr>
            <w:rStyle w:val="Hyperlink"/>
            <w:rFonts w:ascii="Times New Roman" w:eastAsia="Times New Roman" w:hAnsi="Times New Roman" w:cs="Times New Roman"/>
          </w:rPr>
          <w:t>Cilvēka papilomas vīruss | SPKC</w:t>
        </w:r>
      </w:hyperlink>
      <w:r w:rsidRPr="01B39304">
        <w:rPr>
          <w:rFonts w:ascii="Times New Roman" w:eastAsia="Times New Roman" w:hAnsi="Times New Roman" w:cs="Times New Roman"/>
        </w:rPr>
        <w:t xml:space="preserve"> </w:t>
      </w:r>
    </w:p>
    <w:p w14:paraId="7D6CEFB3" w14:textId="77777777" w:rsidR="00990F38" w:rsidRDefault="00990F38" w:rsidP="00990F38">
      <w:pPr>
        <w:spacing w:after="0" w:line="240" w:lineRule="auto"/>
        <w:contextualSpacing/>
        <w:rPr>
          <w:rFonts w:ascii="Times New Roman" w:eastAsia="Times New Roman" w:hAnsi="Times New Roman" w:cs="Times New Roman"/>
        </w:rPr>
      </w:pPr>
    </w:p>
    <w:p w14:paraId="5734A781" w14:textId="77777777" w:rsidR="00990F38" w:rsidRDefault="00990F38" w:rsidP="00990F38">
      <w:pPr>
        <w:spacing w:after="0" w:line="240" w:lineRule="auto"/>
        <w:contextualSpacing/>
        <w:rPr>
          <w:rFonts w:ascii="Times New Roman" w:eastAsia="Times New Roman" w:hAnsi="Times New Roman" w:cs="Times New Roman"/>
        </w:rPr>
      </w:pPr>
      <w:r w:rsidRPr="01B39304">
        <w:rPr>
          <w:rFonts w:ascii="Times New Roman" w:eastAsia="Times New Roman" w:hAnsi="Times New Roman" w:cs="Times New Roman"/>
        </w:rPr>
        <w:t>Kontakttālrunis jautājumiem par CPV vakcināciju 62102614</w:t>
      </w:r>
      <w:r>
        <w:rPr>
          <w:rFonts w:ascii="Times New Roman" w:eastAsia="Times New Roman" w:hAnsi="Times New Roman" w:cs="Times New Roman"/>
        </w:rPr>
        <w:t xml:space="preserve"> (darba dienās no </w:t>
      </w:r>
      <w:r w:rsidRPr="406F79B2">
        <w:rPr>
          <w:rFonts w:ascii="Times New Roman" w:eastAsia="Times New Roman" w:hAnsi="Times New Roman" w:cs="Times New Roman"/>
        </w:rPr>
        <w:t>plkst.</w:t>
      </w:r>
      <w:r>
        <w:rPr>
          <w:rFonts w:ascii="Times New Roman" w:eastAsia="Times New Roman" w:hAnsi="Times New Roman" w:cs="Times New Roman"/>
        </w:rPr>
        <w:t xml:space="preserve"> 8:30-17:00)</w:t>
      </w:r>
      <w:r w:rsidRPr="01B39304">
        <w:rPr>
          <w:rFonts w:ascii="Times New Roman" w:eastAsia="Times New Roman" w:hAnsi="Times New Roman" w:cs="Times New Roman"/>
        </w:rPr>
        <w:t>, e-pasts jautājumiem par vakcīnu pasūtīšanu vakcinas@spkc.gov.lv</w:t>
      </w:r>
      <w:r>
        <w:rPr>
          <w:rFonts w:ascii="Times New Roman" w:eastAsia="Times New Roman" w:hAnsi="Times New Roman" w:cs="Times New Roman"/>
        </w:rPr>
        <w:t>.</w:t>
      </w:r>
    </w:p>
    <w:p w14:paraId="1DDD2917" w14:textId="77777777" w:rsidR="00BB12D0" w:rsidRDefault="00BB12D0"/>
    <w:sectPr w:rsidR="00BB12D0" w:rsidSect="00990F38">
      <w:headerReference w:type="default"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0D78" w14:textId="77777777" w:rsidR="00D83F6F" w:rsidRDefault="00D83F6F" w:rsidP="00990F38">
      <w:pPr>
        <w:spacing w:after="0" w:line="240" w:lineRule="auto"/>
      </w:pPr>
      <w:r>
        <w:separator/>
      </w:r>
    </w:p>
  </w:endnote>
  <w:endnote w:type="continuationSeparator" w:id="0">
    <w:p w14:paraId="7E56F021" w14:textId="77777777" w:rsidR="00D83F6F" w:rsidRDefault="00D83F6F" w:rsidP="0099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90F38" w14:paraId="648ABC2A" w14:textId="77777777" w:rsidTr="22B77ED8">
      <w:trPr>
        <w:trHeight w:val="300"/>
      </w:trPr>
      <w:tc>
        <w:tcPr>
          <w:tcW w:w="3120" w:type="dxa"/>
        </w:tcPr>
        <w:p w14:paraId="15766325" w14:textId="77777777" w:rsidR="00990F38" w:rsidRDefault="00990F38" w:rsidP="22B77ED8">
          <w:pPr>
            <w:pStyle w:val="Header"/>
            <w:ind w:left="-115"/>
            <w:jc w:val="left"/>
          </w:pPr>
        </w:p>
      </w:tc>
      <w:tc>
        <w:tcPr>
          <w:tcW w:w="3120" w:type="dxa"/>
        </w:tcPr>
        <w:p w14:paraId="79C63145" w14:textId="77777777" w:rsidR="00990F38" w:rsidRDefault="00990F38" w:rsidP="22B77ED8">
          <w:pPr>
            <w:pStyle w:val="Header"/>
            <w:jc w:val="center"/>
          </w:pPr>
        </w:p>
      </w:tc>
      <w:tc>
        <w:tcPr>
          <w:tcW w:w="3120" w:type="dxa"/>
        </w:tcPr>
        <w:p w14:paraId="435D1210" w14:textId="77777777" w:rsidR="00990F38" w:rsidRDefault="00990F38" w:rsidP="22B77ED8">
          <w:pPr>
            <w:pStyle w:val="Header"/>
            <w:ind w:right="-115"/>
            <w:jc w:val="right"/>
          </w:pPr>
        </w:p>
      </w:tc>
    </w:tr>
  </w:tbl>
  <w:p w14:paraId="3961749F" w14:textId="77777777" w:rsidR="00990F38" w:rsidRDefault="00990F38" w:rsidP="22B77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90F38" w14:paraId="5F18A15F" w14:textId="77777777" w:rsidTr="22B77ED8">
      <w:trPr>
        <w:trHeight w:val="300"/>
      </w:trPr>
      <w:tc>
        <w:tcPr>
          <w:tcW w:w="3120" w:type="dxa"/>
        </w:tcPr>
        <w:p w14:paraId="70ACD8CB" w14:textId="77777777" w:rsidR="00990F38" w:rsidRDefault="00990F38" w:rsidP="22B77ED8">
          <w:pPr>
            <w:pStyle w:val="Header"/>
            <w:ind w:left="-115"/>
            <w:jc w:val="left"/>
          </w:pPr>
        </w:p>
      </w:tc>
      <w:tc>
        <w:tcPr>
          <w:tcW w:w="3120" w:type="dxa"/>
        </w:tcPr>
        <w:p w14:paraId="3205D39D" w14:textId="77777777" w:rsidR="00990F38" w:rsidRDefault="00990F38" w:rsidP="22B77ED8">
          <w:pPr>
            <w:pStyle w:val="Header"/>
            <w:jc w:val="center"/>
          </w:pPr>
        </w:p>
      </w:tc>
      <w:tc>
        <w:tcPr>
          <w:tcW w:w="3120" w:type="dxa"/>
        </w:tcPr>
        <w:p w14:paraId="24940F38" w14:textId="77777777" w:rsidR="00990F38" w:rsidRDefault="00990F38" w:rsidP="22B77ED8">
          <w:pPr>
            <w:pStyle w:val="Header"/>
            <w:ind w:right="-115"/>
            <w:jc w:val="right"/>
          </w:pPr>
        </w:p>
      </w:tc>
    </w:tr>
  </w:tbl>
  <w:p w14:paraId="4EF3A509" w14:textId="77777777" w:rsidR="00990F38" w:rsidRDefault="00990F38" w:rsidP="22B7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D742" w14:textId="77777777" w:rsidR="00D83F6F" w:rsidRDefault="00D83F6F" w:rsidP="00990F38">
      <w:pPr>
        <w:spacing w:after="0" w:line="240" w:lineRule="auto"/>
      </w:pPr>
      <w:r>
        <w:separator/>
      </w:r>
    </w:p>
  </w:footnote>
  <w:footnote w:type="continuationSeparator" w:id="0">
    <w:p w14:paraId="683F12CD" w14:textId="77777777" w:rsidR="00D83F6F" w:rsidRDefault="00D83F6F" w:rsidP="00990F38">
      <w:pPr>
        <w:spacing w:after="0" w:line="240" w:lineRule="auto"/>
      </w:pPr>
      <w:r>
        <w:continuationSeparator/>
      </w:r>
    </w:p>
  </w:footnote>
  <w:footnote w:id="1">
    <w:p w14:paraId="1A0AD4E9" w14:textId="77777777" w:rsidR="00990F38" w:rsidRPr="00314FE6" w:rsidRDefault="00990F38" w:rsidP="00990F38">
      <w:pPr>
        <w:pStyle w:val="FootnoteText"/>
      </w:pPr>
      <w:r w:rsidRPr="00314FE6">
        <w:rPr>
          <w:rStyle w:val="FootnoteReference"/>
        </w:rPr>
        <w:footnoteRef/>
      </w:r>
      <w:r w:rsidRPr="00314FE6">
        <w:t xml:space="preserve"> Grozījumi Ministru kabineta 2000. gada 26. septembra noteikumos Nr. 330 “Vakcinācijas noteikumi” (</w:t>
      </w:r>
      <w:hyperlink r:id="rId1" w:history="1">
        <w:r w:rsidRPr="00314FE6">
          <w:rPr>
            <w:rStyle w:val="Hyperlink"/>
          </w:rPr>
          <w:t>Vakcinācijas noteikumi</w:t>
        </w:r>
      </w:hyperlink>
      <w:r w:rsidRPr="00314FE6">
        <w:t>) 3.</w:t>
      </w:r>
      <w:r w:rsidRPr="00314FE6">
        <w:rPr>
          <w:vertAlign w:val="superscript"/>
        </w:rPr>
        <w:t>4</w:t>
      </w:r>
      <w:r w:rsidRPr="00314FE6">
        <w:t xml:space="preserve"> punktā.</w:t>
      </w:r>
    </w:p>
  </w:footnote>
  <w:footnote w:id="2">
    <w:p w14:paraId="2C96A857" w14:textId="77777777" w:rsidR="00990F38" w:rsidRDefault="00990F38" w:rsidP="00990F38">
      <w:pPr>
        <w:pStyle w:val="FootnoteText"/>
      </w:pPr>
      <w:r w:rsidRPr="4CDC8516">
        <w:rPr>
          <w:rStyle w:val="FootnoteReference"/>
        </w:rPr>
        <w:footnoteRef/>
      </w:r>
      <w:r>
        <w:t xml:space="preserve"> PRAKTISKAS REKOMENDĀCIJAS VAKCINĀCIJAI PIEAUGUŠAJIEM UN RISKA GRUPU INDIVĪDIEM LATVIJĀ (2024).</w:t>
      </w:r>
    </w:p>
  </w:footnote>
  <w:footnote w:id="3">
    <w:p w14:paraId="2AC4E633" w14:textId="77777777" w:rsidR="00990F38" w:rsidRPr="003B6242" w:rsidRDefault="00990F38" w:rsidP="00990F38">
      <w:pPr>
        <w:pStyle w:val="FootnoteText"/>
      </w:pPr>
      <w:r>
        <w:rPr>
          <w:rStyle w:val="FootnoteReference"/>
        </w:rPr>
        <w:footnoteRef/>
      </w:r>
      <w:r>
        <w:t xml:space="preserve"> </w:t>
      </w:r>
      <w:r w:rsidRPr="00314FE6">
        <w:t>Ministru kabineta 2000. gada 26. septembra noteikum</w:t>
      </w:r>
      <w:r>
        <w:t>u</w:t>
      </w:r>
      <w:r w:rsidRPr="00314FE6">
        <w:t xml:space="preserve"> Nr. 330 “Vakcinācijas noteikumi”</w:t>
      </w:r>
      <w:r>
        <w:t xml:space="preserve"> </w:t>
      </w:r>
      <w:r>
        <w:rPr>
          <w:rFonts w:ascii="Times New Roman" w:eastAsia="Times New Roman" w:hAnsi="Times New Roman" w:cs="Times New Roman"/>
        </w:rPr>
        <w:t>10.2</w:t>
      </w:r>
      <w:r w:rsidRPr="00314FE6">
        <w:rPr>
          <w:rFonts w:ascii="Times New Roman" w:eastAsia="Times New Roman" w:hAnsi="Times New Roman" w:cs="Times New Roman"/>
        </w:rPr>
        <w:t>. punkt</w:t>
      </w:r>
      <w:r>
        <w:rPr>
          <w:rFonts w:ascii="Times New Roman" w:eastAsia="Times New Roman" w:hAnsi="Times New Roman" w:cs="Times New Roman"/>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90F38" w14:paraId="4D1880F0" w14:textId="77777777" w:rsidTr="22B77ED8">
      <w:trPr>
        <w:trHeight w:val="300"/>
      </w:trPr>
      <w:tc>
        <w:tcPr>
          <w:tcW w:w="3120" w:type="dxa"/>
        </w:tcPr>
        <w:p w14:paraId="5EC00F23" w14:textId="77777777" w:rsidR="00990F38" w:rsidRDefault="00990F38" w:rsidP="22B77ED8">
          <w:pPr>
            <w:pStyle w:val="Header"/>
            <w:ind w:left="-115"/>
            <w:jc w:val="left"/>
          </w:pPr>
        </w:p>
      </w:tc>
      <w:tc>
        <w:tcPr>
          <w:tcW w:w="3120" w:type="dxa"/>
        </w:tcPr>
        <w:p w14:paraId="09119F0A" w14:textId="77777777" w:rsidR="00990F38" w:rsidRDefault="00990F38" w:rsidP="22B77ED8">
          <w:pPr>
            <w:pStyle w:val="Header"/>
            <w:jc w:val="center"/>
          </w:pPr>
        </w:p>
      </w:tc>
      <w:tc>
        <w:tcPr>
          <w:tcW w:w="3120" w:type="dxa"/>
        </w:tcPr>
        <w:p w14:paraId="040EF6A3" w14:textId="77777777" w:rsidR="00990F38" w:rsidRDefault="00990F38" w:rsidP="22B77ED8">
          <w:pPr>
            <w:pStyle w:val="Header"/>
            <w:ind w:right="-115"/>
            <w:jc w:val="right"/>
          </w:pPr>
        </w:p>
      </w:tc>
    </w:tr>
  </w:tbl>
  <w:p w14:paraId="40175A18" w14:textId="77777777" w:rsidR="00990F38" w:rsidRDefault="00990F38" w:rsidP="22B77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90F38" w14:paraId="0E672DA0" w14:textId="77777777" w:rsidTr="22B77ED8">
      <w:trPr>
        <w:trHeight w:val="300"/>
      </w:trPr>
      <w:tc>
        <w:tcPr>
          <w:tcW w:w="3120" w:type="dxa"/>
        </w:tcPr>
        <w:p w14:paraId="716A3F5C" w14:textId="77777777" w:rsidR="00990F38" w:rsidRDefault="00990F38" w:rsidP="22B77ED8">
          <w:pPr>
            <w:pStyle w:val="Header"/>
            <w:ind w:left="-115"/>
            <w:jc w:val="left"/>
          </w:pPr>
        </w:p>
      </w:tc>
      <w:tc>
        <w:tcPr>
          <w:tcW w:w="3120" w:type="dxa"/>
        </w:tcPr>
        <w:p w14:paraId="140DB29F" w14:textId="77777777" w:rsidR="00990F38" w:rsidRDefault="00990F38" w:rsidP="22B77ED8">
          <w:pPr>
            <w:pStyle w:val="Header"/>
            <w:jc w:val="center"/>
          </w:pPr>
        </w:p>
      </w:tc>
      <w:tc>
        <w:tcPr>
          <w:tcW w:w="3120" w:type="dxa"/>
        </w:tcPr>
        <w:p w14:paraId="6C8A3D86" w14:textId="77777777" w:rsidR="00990F38" w:rsidRDefault="00990F38" w:rsidP="22B77ED8">
          <w:pPr>
            <w:pStyle w:val="Header"/>
            <w:ind w:right="-115"/>
            <w:jc w:val="right"/>
          </w:pPr>
        </w:p>
      </w:tc>
    </w:tr>
  </w:tbl>
  <w:p w14:paraId="274E14FD" w14:textId="77777777" w:rsidR="00990F38" w:rsidRDefault="00990F38" w:rsidP="22B77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87D"/>
    <w:multiLevelType w:val="hybridMultilevel"/>
    <w:tmpl w:val="90AEFEE8"/>
    <w:lvl w:ilvl="0" w:tplc="B11AC0B6">
      <w:start w:val="1"/>
      <w:numFmt w:val="bullet"/>
      <w:lvlText w:val=""/>
      <w:lvlJc w:val="left"/>
      <w:pPr>
        <w:ind w:left="1080" w:hanging="360"/>
      </w:pPr>
      <w:rPr>
        <w:rFonts w:ascii="Symbol" w:hAnsi="Symbol" w:hint="default"/>
      </w:rPr>
    </w:lvl>
    <w:lvl w:ilvl="1" w:tplc="960E2252" w:tentative="1">
      <w:start w:val="1"/>
      <w:numFmt w:val="bullet"/>
      <w:lvlText w:val="o"/>
      <w:lvlJc w:val="left"/>
      <w:pPr>
        <w:ind w:left="1800" w:hanging="360"/>
      </w:pPr>
      <w:rPr>
        <w:rFonts w:ascii="Courier New" w:hAnsi="Courier New" w:hint="default"/>
      </w:rPr>
    </w:lvl>
    <w:lvl w:ilvl="2" w:tplc="24E26BB4" w:tentative="1">
      <w:start w:val="1"/>
      <w:numFmt w:val="bullet"/>
      <w:lvlText w:val=""/>
      <w:lvlJc w:val="left"/>
      <w:pPr>
        <w:ind w:left="2520" w:hanging="360"/>
      </w:pPr>
      <w:rPr>
        <w:rFonts w:ascii="Wingdings" w:hAnsi="Wingdings" w:hint="default"/>
      </w:rPr>
    </w:lvl>
    <w:lvl w:ilvl="3" w:tplc="360606EC" w:tentative="1">
      <w:start w:val="1"/>
      <w:numFmt w:val="bullet"/>
      <w:lvlText w:val=""/>
      <w:lvlJc w:val="left"/>
      <w:pPr>
        <w:ind w:left="3240" w:hanging="360"/>
      </w:pPr>
      <w:rPr>
        <w:rFonts w:ascii="Symbol" w:hAnsi="Symbol" w:hint="default"/>
      </w:rPr>
    </w:lvl>
    <w:lvl w:ilvl="4" w:tplc="DCDEE2B0" w:tentative="1">
      <w:start w:val="1"/>
      <w:numFmt w:val="bullet"/>
      <w:lvlText w:val="o"/>
      <w:lvlJc w:val="left"/>
      <w:pPr>
        <w:ind w:left="3960" w:hanging="360"/>
      </w:pPr>
      <w:rPr>
        <w:rFonts w:ascii="Courier New" w:hAnsi="Courier New" w:hint="default"/>
      </w:rPr>
    </w:lvl>
    <w:lvl w:ilvl="5" w:tplc="2D28D914" w:tentative="1">
      <w:start w:val="1"/>
      <w:numFmt w:val="bullet"/>
      <w:lvlText w:val=""/>
      <w:lvlJc w:val="left"/>
      <w:pPr>
        <w:ind w:left="4680" w:hanging="360"/>
      </w:pPr>
      <w:rPr>
        <w:rFonts w:ascii="Wingdings" w:hAnsi="Wingdings" w:hint="default"/>
      </w:rPr>
    </w:lvl>
    <w:lvl w:ilvl="6" w:tplc="852EB1E0" w:tentative="1">
      <w:start w:val="1"/>
      <w:numFmt w:val="bullet"/>
      <w:lvlText w:val=""/>
      <w:lvlJc w:val="left"/>
      <w:pPr>
        <w:ind w:left="5400" w:hanging="360"/>
      </w:pPr>
      <w:rPr>
        <w:rFonts w:ascii="Symbol" w:hAnsi="Symbol" w:hint="default"/>
      </w:rPr>
    </w:lvl>
    <w:lvl w:ilvl="7" w:tplc="626AE336" w:tentative="1">
      <w:start w:val="1"/>
      <w:numFmt w:val="bullet"/>
      <w:lvlText w:val="o"/>
      <w:lvlJc w:val="left"/>
      <w:pPr>
        <w:ind w:left="6120" w:hanging="360"/>
      </w:pPr>
      <w:rPr>
        <w:rFonts w:ascii="Courier New" w:hAnsi="Courier New" w:hint="default"/>
      </w:rPr>
    </w:lvl>
    <w:lvl w:ilvl="8" w:tplc="1A464D86" w:tentative="1">
      <w:start w:val="1"/>
      <w:numFmt w:val="bullet"/>
      <w:lvlText w:val=""/>
      <w:lvlJc w:val="left"/>
      <w:pPr>
        <w:ind w:left="6840" w:hanging="360"/>
      </w:pPr>
      <w:rPr>
        <w:rFonts w:ascii="Wingdings" w:hAnsi="Wingdings" w:hint="default"/>
      </w:rPr>
    </w:lvl>
  </w:abstractNum>
  <w:abstractNum w:abstractNumId="1" w15:restartNumberingAfterBreak="0">
    <w:nsid w:val="131D0064"/>
    <w:multiLevelType w:val="hybridMultilevel"/>
    <w:tmpl w:val="326220D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83A3193"/>
    <w:multiLevelType w:val="multilevel"/>
    <w:tmpl w:val="FCEC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55181"/>
    <w:multiLevelType w:val="hybridMultilevel"/>
    <w:tmpl w:val="4C7222C8"/>
    <w:lvl w:ilvl="0" w:tplc="A55EA26A">
      <w:start w:val="1"/>
      <w:numFmt w:val="decimal"/>
      <w:lvlText w:val="%1."/>
      <w:lvlJc w:val="left"/>
      <w:pPr>
        <w:ind w:left="720" w:hanging="360"/>
      </w:pPr>
      <w:rPr>
        <w:b/>
        <w:bCs/>
      </w:rPr>
    </w:lvl>
    <w:lvl w:ilvl="1" w:tplc="76B0B6A6">
      <w:start w:val="1"/>
      <w:numFmt w:val="lowerLetter"/>
      <w:lvlText w:val="%2."/>
      <w:lvlJc w:val="left"/>
      <w:pPr>
        <w:ind w:left="1440" w:hanging="360"/>
      </w:pPr>
    </w:lvl>
    <w:lvl w:ilvl="2" w:tplc="8A742120">
      <w:start w:val="1"/>
      <w:numFmt w:val="lowerRoman"/>
      <w:lvlText w:val="%3."/>
      <w:lvlJc w:val="right"/>
      <w:pPr>
        <w:ind w:left="2160" w:hanging="180"/>
      </w:pPr>
    </w:lvl>
    <w:lvl w:ilvl="3" w:tplc="1696E3D0">
      <w:start w:val="1"/>
      <w:numFmt w:val="decimal"/>
      <w:lvlText w:val="%4."/>
      <w:lvlJc w:val="left"/>
      <w:pPr>
        <w:ind w:left="2880" w:hanging="360"/>
      </w:pPr>
    </w:lvl>
    <w:lvl w:ilvl="4" w:tplc="2D206C94">
      <w:start w:val="1"/>
      <w:numFmt w:val="lowerLetter"/>
      <w:lvlText w:val="%5."/>
      <w:lvlJc w:val="left"/>
      <w:pPr>
        <w:ind w:left="3600" w:hanging="360"/>
      </w:pPr>
    </w:lvl>
    <w:lvl w:ilvl="5" w:tplc="F45C083C">
      <w:start w:val="1"/>
      <w:numFmt w:val="lowerRoman"/>
      <w:lvlText w:val="%6."/>
      <w:lvlJc w:val="right"/>
      <w:pPr>
        <w:ind w:left="4320" w:hanging="180"/>
      </w:pPr>
    </w:lvl>
    <w:lvl w:ilvl="6" w:tplc="5BCC06C8">
      <w:start w:val="1"/>
      <w:numFmt w:val="decimal"/>
      <w:lvlText w:val="%7."/>
      <w:lvlJc w:val="left"/>
      <w:pPr>
        <w:ind w:left="5040" w:hanging="360"/>
      </w:pPr>
    </w:lvl>
    <w:lvl w:ilvl="7" w:tplc="79AE77FA">
      <w:start w:val="1"/>
      <w:numFmt w:val="lowerLetter"/>
      <w:lvlText w:val="%8."/>
      <w:lvlJc w:val="left"/>
      <w:pPr>
        <w:ind w:left="5760" w:hanging="360"/>
      </w:pPr>
    </w:lvl>
    <w:lvl w:ilvl="8" w:tplc="42844E9E">
      <w:start w:val="1"/>
      <w:numFmt w:val="lowerRoman"/>
      <w:lvlText w:val="%9."/>
      <w:lvlJc w:val="right"/>
      <w:pPr>
        <w:ind w:left="6480" w:hanging="180"/>
      </w:pPr>
    </w:lvl>
  </w:abstractNum>
  <w:abstractNum w:abstractNumId="4" w15:restartNumberingAfterBreak="0">
    <w:nsid w:val="6FDA43D2"/>
    <w:multiLevelType w:val="hybridMultilevel"/>
    <w:tmpl w:val="16F411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18872181">
    <w:abstractNumId w:val="3"/>
  </w:num>
  <w:num w:numId="2" w16cid:durableId="1762949784">
    <w:abstractNumId w:val="0"/>
  </w:num>
  <w:num w:numId="3" w16cid:durableId="1184435249">
    <w:abstractNumId w:val="4"/>
  </w:num>
  <w:num w:numId="4" w16cid:durableId="950816544">
    <w:abstractNumId w:val="2"/>
  </w:num>
  <w:num w:numId="5" w16cid:durableId="4267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38"/>
    <w:rsid w:val="000327BC"/>
    <w:rsid w:val="00084B57"/>
    <w:rsid w:val="000D7B86"/>
    <w:rsid w:val="00144B69"/>
    <w:rsid w:val="001D2C05"/>
    <w:rsid w:val="001F1214"/>
    <w:rsid w:val="00211495"/>
    <w:rsid w:val="0022368D"/>
    <w:rsid w:val="00252DA7"/>
    <w:rsid w:val="00286F80"/>
    <w:rsid w:val="00312393"/>
    <w:rsid w:val="00367936"/>
    <w:rsid w:val="00407CC0"/>
    <w:rsid w:val="004D020D"/>
    <w:rsid w:val="005A1AC8"/>
    <w:rsid w:val="005B6FFF"/>
    <w:rsid w:val="00685B13"/>
    <w:rsid w:val="00707B62"/>
    <w:rsid w:val="00730B60"/>
    <w:rsid w:val="00745251"/>
    <w:rsid w:val="00774D2D"/>
    <w:rsid w:val="007E41A4"/>
    <w:rsid w:val="008460EE"/>
    <w:rsid w:val="0086447E"/>
    <w:rsid w:val="00882F0B"/>
    <w:rsid w:val="008A2A2C"/>
    <w:rsid w:val="008B5AC0"/>
    <w:rsid w:val="008C6E87"/>
    <w:rsid w:val="00990F38"/>
    <w:rsid w:val="00A2059B"/>
    <w:rsid w:val="00A23B59"/>
    <w:rsid w:val="00A76E8F"/>
    <w:rsid w:val="00AB6A99"/>
    <w:rsid w:val="00AF6E17"/>
    <w:rsid w:val="00B0430C"/>
    <w:rsid w:val="00B1062F"/>
    <w:rsid w:val="00B75657"/>
    <w:rsid w:val="00BA64DD"/>
    <w:rsid w:val="00BB12D0"/>
    <w:rsid w:val="00D34054"/>
    <w:rsid w:val="00D67CD2"/>
    <w:rsid w:val="00D83F6F"/>
    <w:rsid w:val="00DE005F"/>
    <w:rsid w:val="00E4401E"/>
    <w:rsid w:val="00E8359B"/>
    <w:rsid w:val="00F01778"/>
    <w:rsid w:val="00F96CC5"/>
    <w:rsid w:val="00FC4D66"/>
    <w:rsid w:val="00FD0EE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15BD"/>
  <w15:chartTrackingRefBased/>
  <w15:docId w15:val="{A531B090-1150-4AB9-9641-02718D72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38"/>
    <w:pPr>
      <w:spacing w:line="252" w:lineRule="auto"/>
      <w:jc w:val="both"/>
    </w:pPr>
    <w:rPr>
      <w:rFonts w:asciiTheme="majorBidi" w:eastAsiaTheme="minorEastAsia" w:hAnsiTheme="majorBidi"/>
      <w:kern w:val="0"/>
      <w:sz w:val="24"/>
      <w14:ligatures w14:val="none"/>
    </w:rPr>
  </w:style>
  <w:style w:type="paragraph" w:styleId="Heading1">
    <w:name w:val="heading 1"/>
    <w:basedOn w:val="Normal"/>
    <w:next w:val="Normal"/>
    <w:link w:val="Heading1Char"/>
    <w:uiPriority w:val="9"/>
    <w:qFormat/>
    <w:rsid w:val="0099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F38"/>
    <w:rPr>
      <w:rFonts w:eastAsiaTheme="majorEastAsia" w:cstheme="majorBidi"/>
      <w:color w:val="272727" w:themeColor="text1" w:themeTint="D8"/>
    </w:rPr>
  </w:style>
  <w:style w:type="paragraph" w:styleId="Title">
    <w:name w:val="Title"/>
    <w:basedOn w:val="Normal"/>
    <w:next w:val="Normal"/>
    <w:link w:val="TitleChar"/>
    <w:uiPriority w:val="10"/>
    <w:qFormat/>
    <w:rsid w:val="0099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F38"/>
    <w:pPr>
      <w:spacing w:before="160"/>
      <w:jc w:val="center"/>
    </w:pPr>
    <w:rPr>
      <w:i/>
      <w:iCs/>
      <w:color w:val="404040" w:themeColor="text1" w:themeTint="BF"/>
    </w:rPr>
  </w:style>
  <w:style w:type="character" w:customStyle="1" w:styleId="QuoteChar">
    <w:name w:val="Quote Char"/>
    <w:basedOn w:val="DefaultParagraphFont"/>
    <w:link w:val="Quote"/>
    <w:uiPriority w:val="29"/>
    <w:rsid w:val="00990F38"/>
    <w:rPr>
      <w:i/>
      <w:iCs/>
      <w:color w:val="404040" w:themeColor="text1" w:themeTint="BF"/>
    </w:rPr>
  </w:style>
  <w:style w:type="paragraph" w:styleId="ListParagraph">
    <w:name w:val="List Paragraph"/>
    <w:basedOn w:val="Normal"/>
    <w:uiPriority w:val="34"/>
    <w:qFormat/>
    <w:rsid w:val="00990F38"/>
    <w:pPr>
      <w:ind w:left="720"/>
      <w:contextualSpacing/>
    </w:pPr>
  </w:style>
  <w:style w:type="character" w:styleId="IntenseEmphasis">
    <w:name w:val="Intense Emphasis"/>
    <w:basedOn w:val="DefaultParagraphFont"/>
    <w:uiPriority w:val="21"/>
    <w:qFormat/>
    <w:rsid w:val="00990F38"/>
    <w:rPr>
      <w:i/>
      <w:iCs/>
      <w:color w:val="0F4761" w:themeColor="accent1" w:themeShade="BF"/>
    </w:rPr>
  </w:style>
  <w:style w:type="paragraph" w:styleId="IntenseQuote">
    <w:name w:val="Intense Quote"/>
    <w:basedOn w:val="Normal"/>
    <w:next w:val="Normal"/>
    <w:link w:val="IntenseQuoteChar"/>
    <w:uiPriority w:val="30"/>
    <w:qFormat/>
    <w:rsid w:val="0099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F38"/>
    <w:rPr>
      <w:i/>
      <w:iCs/>
      <w:color w:val="0F4761" w:themeColor="accent1" w:themeShade="BF"/>
    </w:rPr>
  </w:style>
  <w:style w:type="character" w:styleId="IntenseReference">
    <w:name w:val="Intense Reference"/>
    <w:basedOn w:val="DefaultParagraphFont"/>
    <w:uiPriority w:val="32"/>
    <w:qFormat/>
    <w:rsid w:val="00990F38"/>
    <w:rPr>
      <w:b/>
      <w:bCs/>
      <w:smallCaps/>
      <w:color w:val="0F4761" w:themeColor="accent1" w:themeShade="BF"/>
      <w:spacing w:val="5"/>
    </w:rPr>
  </w:style>
  <w:style w:type="character" w:styleId="Hyperlink">
    <w:name w:val="Hyperlink"/>
    <w:basedOn w:val="DefaultParagraphFont"/>
    <w:uiPriority w:val="99"/>
    <w:unhideWhenUsed/>
    <w:rsid w:val="00990F38"/>
    <w:rPr>
      <w:color w:val="467886"/>
      <w:u w:val="single"/>
    </w:rPr>
  </w:style>
  <w:style w:type="paragraph" w:styleId="FootnoteText">
    <w:name w:val="footnote text"/>
    <w:basedOn w:val="Normal"/>
    <w:link w:val="FootnoteTextChar"/>
    <w:uiPriority w:val="99"/>
    <w:semiHidden/>
    <w:unhideWhenUsed/>
    <w:rsid w:val="00990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F38"/>
    <w:rPr>
      <w:rFonts w:asciiTheme="majorBidi" w:eastAsiaTheme="minorEastAsia" w:hAnsiTheme="majorBidi"/>
      <w:kern w:val="0"/>
      <w:sz w:val="20"/>
      <w:szCs w:val="20"/>
      <w14:ligatures w14:val="none"/>
    </w:rPr>
  </w:style>
  <w:style w:type="character" w:styleId="FootnoteReference">
    <w:name w:val="footnote reference"/>
    <w:basedOn w:val="DefaultParagraphFont"/>
    <w:uiPriority w:val="99"/>
    <w:semiHidden/>
    <w:unhideWhenUsed/>
    <w:rsid w:val="00990F38"/>
    <w:rPr>
      <w:vertAlign w:val="superscript"/>
    </w:rPr>
  </w:style>
  <w:style w:type="paragraph" w:styleId="Header">
    <w:name w:val="header"/>
    <w:basedOn w:val="Normal"/>
    <w:link w:val="HeaderChar"/>
    <w:uiPriority w:val="99"/>
    <w:semiHidden/>
    <w:unhideWhenUsed/>
    <w:rsid w:val="00990F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F38"/>
    <w:rPr>
      <w:rFonts w:asciiTheme="majorBidi" w:eastAsiaTheme="minorEastAsia" w:hAnsiTheme="majorBidi"/>
      <w:kern w:val="0"/>
      <w:sz w:val="24"/>
      <w14:ligatures w14:val="none"/>
    </w:rPr>
  </w:style>
  <w:style w:type="paragraph" w:styleId="Footer">
    <w:name w:val="footer"/>
    <w:basedOn w:val="Normal"/>
    <w:link w:val="FooterChar"/>
    <w:uiPriority w:val="99"/>
    <w:semiHidden/>
    <w:unhideWhenUsed/>
    <w:rsid w:val="00990F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F38"/>
    <w:rPr>
      <w:rFonts w:asciiTheme="majorBidi" w:eastAsiaTheme="minorEastAsia" w:hAnsiTheme="majorBidi"/>
      <w:kern w:val="0"/>
      <w:sz w:val="24"/>
      <w14:ligatures w14:val="none"/>
    </w:rPr>
  </w:style>
  <w:style w:type="table" w:styleId="TableGrid">
    <w:name w:val="Table Grid"/>
    <w:basedOn w:val="TableNormal"/>
    <w:uiPriority w:val="59"/>
    <w:rsid w:val="00990F3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76E8F"/>
    <w:pPr>
      <w:spacing w:after="0" w:line="240" w:lineRule="auto"/>
    </w:pPr>
    <w:rPr>
      <w:rFonts w:asciiTheme="majorBidi" w:eastAsiaTheme="minorEastAsia" w:hAnsiTheme="majorBidi"/>
      <w:kern w:val="0"/>
      <w:sz w:val="24"/>
      <w14:ligatures w14:val="none"/>
    </w:rPr>
  </w:style>
  <w:style w:type="character" w:styleId="CommentReference">
    <w:name w:val="annotation reference"/>
    <w:basedOn w:val="DefaultParagraphFont"/>
    <w:uiPriority w:val="99"/>
    <w:semiHidden/>
    <w:unhideWhenUsed/>
    <w:rsid w:val="008C6E87"/>
    <w:rPr>
      <w:sz w:val="16"/>
      <w:szCs w:val="16"/>
    </w:rPr>
  </w:style>
  <w:style w:type="paragraph" w:styleId="CommentText">
    <w:name w:val="annotation text"/>
    <w:basedOn w:val="Normal"/>
    <w:link w:val="CommentTextChar"/>
    <w:uiPriority w:val="99"/>
    <w:unhideWhenUsed/>
    <w:rsid w:val="008C6E87"/>
    <w:pPr>
      <w:spacing w:line="240" w:lineRule="auto"/>
    </w:pPr>
    <w:rPr>
      <w:sz w:val="20"/>
      <w:szCs w:val="20"/>
    </w:rPr>
  </w:style>
  <w:style w:type="character" w:customStyle="1" w:styleId="CommentTextChar">
    <w:name w:val="Comment Text Char"/>
    <w:basedOn w:val="DefaultParagraphFont"/>
    <w:link w:val="CommentText"/>
    <w:uiPriority w:val="99"/>
    <w:rsid w:val="008C6E87"/>
    <w:rPr>
      <w:rFonts w:asciiTheme="majorBidi" w:eastAsiaTheme="minorEastAsia" w:hAnsi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6E87"/>
    <w:rPr>
      <w:b/>
      <w:bCs/>
    </w:rPr>
  </w:style>
  <w:style w:type="character" w:customStyle="1" w:styleId="CommentSubjectChar">
    <w:name w:val="Comment Subject Char"/>
    <w:basedOn w:val="CommentTextChar"/>
    <w:link w:val="CommentSubject"/>
    <w:uiPriority w:val="99"/>
    <w:semiHidden/>
    <w:rsid w:val="008C6E87"/>
    <w:rPr>
      <w:rFonts w:asciiTheme="majorBidi" w:eastAsiaTheme="minorEastAsia" w:hAnsiTheme="majorBidi"/>
      <w:b/>
      <w:bCs/>
      <w:kern w:val="0"/>
      <w:sz w:val="20"/>
      <w:szCs w:val="20"/>
      <w14:ligatures w14:val="none"/>
    </w:rPr>
  </w:style>
  <w:style w:type="paragraph" w:styleId="NoSpacing">
    <w:name w:val="No Spacing"/>
    <w:uiPriority w:val="1"/>
    <w:qFormat/>
    <w:rsid w:val="00DE005F"/>
    <w:pPr>
      <w:spacing w:after="0" w:line="240" w:lineRule="auto"/>
      <w:jc w:val="both"/>
    </w:pPr>
    <w:rPr>
      <w:rFonts w:asciiTheme="majorBidi" w:eastAsiaTheme="minorEastAsia" w:hAnsiTheme="majorBid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kc.gov.lv/lv/cilveka-papilomas-viru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11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2891</Words>
  <Characters>1649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Krauze</dc:creator>
  <cp:keywords/>
  <dc:description/>
  <cp:lastModifiedBy>Linda Krauze</cp:lastModifiedBy>
  <cp:revision>40</cp:revision>
  <dcterms:created xsi:type="dcterms:W3CDTF">2025-08-15T06:31:00Z</dcterms:created>
  <dcterms:modified xsi:type="dcterms:W3CDTF">2025-08-28T06:26:00Z</dcterms:modified>
</cp:coreProperties>
</file>