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C9152" w14:textId="77777777" w:rsidR="00137DF8" w:rsidRDefault="0024621C">
      <w:pPr>
        <w:pStyle w:val="Attribution"/>
      </w:pPr>
      <w:r>
        <w:rPr>
          <w:noProof/>
        </w:rPr>
        <mc:AlternateContent>
          <mc:Choice Requires="wpg">
            <w:drawing>
              <wp:anchor distT="152400" distB="152400" distL="152400" distR="152400" simplePos="0" relativeHeight="251659264" behindDoc="0" locked="0" layoutInCell="1" allowOverlap="1" wp14:anchorId="680658C1" wp14:editId="5687D42B">
                <wp:simplePos x="0" y="0"/>
                <wp:positionH relativeFrom="page">
                  <wp:posOffset>533399</wp:posOffset>
                </wp:positionH>
                <wp:positionV relativeFrom="page">
                  <wp:posOffset>1564638</wp:posOffset>
                </wp:positionV>
                <wp:extent cx="6489700" cy="4995697"/>
                <wp:effectExtent l="0" t="0" r="0" b="0"/>
                <wp:wrapNone/>
                <wp:docPr id="1073741828" name="officeArt object" descr="Group"/>
                <wp:cNvGraphicFramePr/>
                <a:graphic xmlns:a="http://schemas.openxmlformats.org/drawingml/2006/main">
                  <a:graphicData uri="http://schemas.microsoft.com/office/word/2010/wordprocessingGroup">
                    <wpg:wgp>
                      <wpg:cNvGrpSpPr/>
                      <wpg:grpSpPr>
                        <a:xfrm>
                          <a:off x="0" y="0"/>
                          <a:ext cx="6489700" cy="4995697"/>
                          <a:chOff x="0" y="0"/>
                          <a:chExt cx="6489700" cy="4995696"/>
                        </a:xfrm>
                      </wpg:grpSpPr>
                      <wps:wsp>
                        <wps:cNvPr id="1073741825" name="prof. Dace zavadska…"/>
                        <wps:cNvSpPr txBox="1"/>
                        <wps:spPr>
                          <a:xfrm>
                            <a:off x="50800" y="0"/>
                            <a:ext cx="6388100" cy="882095"/>
                          </a:xfrm>
                          <a:prstGeom prst="rect">
                            <a:avLst/>
                          </a:prstGeom>
                          <a:noFill/>
                          <a:ln w="12700" cap="flat">
                            <a:noFill/>
                            <a:miter lim="400000"/>
                          </a:ln>
                          <a:effectLst/>
                        </wps:spPr>
                        <wps:txbx>
                          <w:txbxContent>
                            <w:p w14:paraId="02DEA5C4" w14:textId="77777777" w:rsidR="00137DF8" w:rsidRDefault="0024621C">
                              <w:pPr>
                                <w:pStyle w:val="Heading2"/>
                                <w:rPr>
                                  <w:rFonts w:hint="eastAsia"/>
                                  <w:sz w:val="22"/>
                                  <w:szCs w:val="22"/>
                                </w:rPr>
                              </w:pPr>
                              <w:r>
                                <w:rPr>
                                  <w:sz w:val="22"/>
                                  <w:szCs w:val="22"/>
                                </w:rPr>
                                <w:t>prof. Dace zavadska</w:t>
                              </w:r>
                            </w:p>
                            <w:p w14:paraId="3289FA17" w14:textId="77777777" w:rsidR="00137DF8" w:rsidRDefault="0024621C">
                              <w:pPr>
                                <w:pStyle w:val="Heading2"/>
                                <w:rPr>
                                  <w:rFonts w:hint="eastAsia"/>
                                  <w:sz w:val="22"/>
                                  <w:szCs w:val="22"/>
                                </w:rPr>
                              </w:pPr>
                              <w:r>
                                <w:rPr>
                                  <w:sz w:val="22"/>
                                  <w:szCs w:val="22"/>
                                </w:rPr>
                                <w:t>Dr. Dana Isarova</w:t>
                              </w:r>
                            </w:p>
                            <w:p w14:paraId="724C0C70" w14:textId="77777777" w:rsidR="00137DF8" w:rsidRDefault="0024621C">
                              <w:pPr>
                                <w:pStyle w:val="Heading2"/>
                                <w:rPr>
                                  <w:rFonts w:hint="eastAsia"/>
                                  <w:sz w:val="22"/>
                                  <w:szCs w:val="22"/>
                                </w:rPr>
                              </w:pPr>
                              <w:r>
                                <w:rPr>
                                  <w:sz w:val="22"/>
                                  <w:szCs w:val="22"/>
                                </w:rPr>
                                <w:t>Slimību profilakses un kontroles centrs</w:t>
                              </w:r>
                            </w:p>
                            <w:p w14:paraId="6A860B7D" w14:textId="77777777" w:rsidR="00137DF8" w:rsidRDefault="0024621C">
                              <w:pPr>
                                <w:pStyle w:val="Heading2"/>
                                <w:rPr>
                                  <w:rFonts w:hint="eastAsia"/>
                                </w:rPr>
                              </w:pPr>
                              <w:r>
                                <w:rPr>
                                  <w:sz w:val="22"/>
                                  <w:szCs w:val="22"/>
                                </w:rPr>
                                <w:t>Pārtikas drošības, dzīvnieku veselības un vides zinātniskais institūts BIOR</w:t>
                              </w:r>
                            </w:p>
                          </w:txbxContent>
                        </wps:txbx>
                        <wps:bodyPr wrap="square" lIns="50800" tIns="50800" rIns="50800" bIns="50800" numCol="1" anchor="t">
                          <a:noAutofit/>
                        </wps:bodyPr>
                      </wps:wsp>
                      <wps:wsp>
                        <wps:cNvPr id="1073741826" name="Diagnostikas un profilakses standarts"/>
                        <wps:cNvSpPr txBox="1"/>
                        <wps:spPr>
                          <a:xfrm>
                            <a:off x="0" y="1570315"/>
                            <a:ext cx="6489700" cy="3425382"/>
                          </a:xfrm>
                          <a:prstGeom prst="rect">
                            <a:avLst/>
                          </a:prstGeom>
                          <a:noFill/>
                          <a:ln w="12700" cap="flat">
                            <a:noFill/>
                            <a:miter lim="400000"/>
                          </a:ln>
                          <a:effectLst/>
                        </wps:spPr>
                        <wps:txbx>
                          <w:txbxContent>
                            <w:p w14:paraId="75419EF4" w14:textId="77777777" w:rsidR="00137DF8" w:rsidRPr="002A7A5B" w:rsidRDefault="0024621C">
                              <w:pPr>
                                <w:pStyle w:val="Title"/>
                                <w:rPr>
                                  <w:rFonts w:hint="eastAsia"/>
                                  <w:sz w:val="72"/>
                                  <w:szCs w:val="72"/>
                                </w:rPr>
                              </w:pPr>
                              <w:r w:rsidRPr="002A7A5B">
                                <w:rPr>
                                  <w:color w:val="599DFF"/>
                                  <w:sz w:val="72"/>
                                  <w:szCs w:val="72"/>
                                  <w14:textFill>
                                    <w14:solidFill>
                                      <w14:srgbClr w14:val="599DFF"/>
                                    </w14:solidFill>
                                  </w14:textFill>
                                </w:rPr>
                                <w:t>Diagnostikas un profilakses standarts</w:t>
                              </w:r>
                            </w:p>
                          </w:txbxContent>
                        </wps:txbx>
                        <wps:bodyPr wrap="square" lIns="50800" tIns="50800" rIns="50800" bIns="50800" numCol="1" anchor="t">
                          <a:noAutofit/>
                        </wps:bodyPr>
                      </wps:wsp>
                      <wps:wsp>
                        <wps:cNvPr id="1073741827" name="Trakumsērgas cilvēkiem"/>
                        <wps:cNvSpPr txBox="1"/>
                        <wps:spPr>
                          <a:xfrm>
                            <a:off x="50800" y="836533"/>
                            <a:ext cx="6388100" cy="867808"/>
                          </a:xfrm>
                          <a:prstGeom prst="rect">
                            <a:avLst/>
                          </a:prstGeom>
                          <a:noFill/>
                          <a:ln w="12700" cap="flat">
                            <a:noFill/>
                            <a:miter lim="400000"/>
                          </a:ln>
                          <a:effectLst/>
                        </wps:spPr>
                        <wps:txbx>
                          <w:txbxContent>
                            <w:p w14:paraId="3832F6D3" w14:textId="0B0938BD" w:rsidR="00137DF8" w:rsidRDefault="0024621C">
                              <w:pPr>
                                <w:pStyle w:val="Subtitle"/>
                                <w:rPr>
                                  <w:rFonts w:hint="eastAsia"/>
                                </w:rPr>
                              </w:pPr>
                              <w:r>
                                <w:t>Trakumsērga cilvēkiem</w:t>
                              </w:r>
                              <w:r w:rsidR="003062F3">
                                <w:t>.</w:t>
                              </w:r>
                            </w:p>
                          </w:txbxContent>
                        </wps:txbx>
                        <wps:bodyPr wrap="square" lIns="50800" tIns="50800" rIns="50800" bIns="50800" numCol="1" anchor="b">
                          <a:noAutofit/>
                        </wps:bodyPr>
                      </wps:wsp>
                    </wpg:wgp>
                  </a:graphicData>
                </a:graphic>
              </wp:anchor>
            </w:drawing>
          </mc:Choice>
          <mc:Fallback>
            <w:pict>
              <v:group w14:anchorId="680658C1" id="officeArt object" o:spid="_x0000_s1026" alt="Group" style="position:absolute;margin-left:42pt;margin-top:123.2pt;width:511pt;height:393.35pt;z-index:251659264;mso-wrap-distance-left:12pt;mso-wrap-distance-top:12pt;mso-wrap-distance-right:12pt;mso-wrap-distance-bottom:12pt;mso-position-horizontal-relative:page;mso-position-vertical-relative:page" coordsize="64897,4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">
                <v:shapetype id="_x0000_t202" coordsize="21600,21600" o:spt="202" path="m,l,21600r21600,l21600,xe">
                  <v:stroke joinstyle="miter"/>
                  <v:path gradientshapeok="t" o:connecttype="rect"/>
                </v:shapetype>
                <v:shape id="prof. Dace zavadska…" o:spid="_x0000_s1027" type="#_x0000_t202" style="position:absolute;left:508;width:63881;height:8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" filled="f" stroked="f" strokeweight="1pt">
                  <v:stroke miterlimit="4"/>
                  <v:textbox inset="4pt,4pt,4pt,4pt">
                    <w:txbxContent>
                      <w:p w14:paraId="02DEA5C4" w14:textId="77777777" w:rsidR="00137DF8" w:rsidRDefault="0024621C">
                        <w:pPr>
                          <w:pStyle w:val="Heading2"/>
                          <w:rPr>
                            <w:rFonts w:hint="eastAsia"/>
                            <w:sz w:val="22"/>
                            <w:szCs w:val="22"/>
                          </w:rPr>
                        </w:pPr>
                        <w:r>
                          <w:rPr>
                            <w:sz w:val="22"/>
                            <w:szCs w:val="22"/>
                          </w:rPr>
                          <w:t>prof. Dace zavadska</w:t>
                        </w:r>
                      </w:p>
                      <w:p w14:paraId="3289FA17" w14:textId="77777777" w:rsidR="00137DF8" w:rsidRDefault="0024621C">
                        <w:pPr>
                          <w:pStyle w:val="Heading2"/>
                          <w:rPr>
                            <w:rFonts w:hint="eastAsia"/>
                            <w:sz w:val="22"/>
                            <w:szCs w:val="22"/>
                          </w:rPr>
                        </w:pPr>
                        <w:r>
                          <w:rPr>
                            <w:sz w:val="22"/>
                            <w:szCs w:val="22"/>
                          </w:rPr>
                          <w:t>Dr. Dana Isarova</w:t>
                        </w:r>
                      </w:p>
                      <w:p w14:paraId="724C0C70" w14:textId="77777777" w:rsidR="00137DF8" w:rsidRDefault="0024621C">
                        <w:pPr>
                          <w:pStyle w:val="Heading2"/>
                          <w:rPr>
                            <w:rFonts w:hint="eastAsia"/>
                            <w:sz w:val="22"/>
                            <w:szCs w:val="22"/>
                          </w:rPr>
                        </w:pPr>
                        <w:r>
                          <w:rPr>
                            <w:sz w:val="22"/>
                            <w:szCs w:val="22"/>
                          </w:rPr>
                          <w:t>Slimību profilakses un kontroles centrs</w:t>
                        </w:r>
                      </w:p>
                      <w:p w14:paraId="6A860B7D" w14:textId="77777777" w:rsidR="00137DF8" w:rsidRDefault="0024621C">
                        <w:pPr>
                          <w:pStyle w:val="Heading2"/>
                          <w:rPr>
                            <w:rFonts w:hint="eastAsia"/>
                          </w:rPr>
                        </w:pPr>
                        <w:r>
                          <w:rPr>
                            <w:sz w:val="22"/>
                            <w:szCs w:val="22"/>
                          </w:rPr>
                          <w:t>Pārtikas drošības, dzīvnieku veselības un vides zinātniskais institūts BIOR</w:t>
                        </w:r>
                      </w:p>
                    </w:txbxContent>
                  </v:textbox>
                </v:shape>
                <v:shape id="Diagnostikas un profilakses standarts" o:spid="_x0000_s1028" type="#_x0000_t202" style="position:absolute;top:15703;width:64897;height:34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" filled="f" stroked="f" strokeweight="1pt">
                  <v:stroke miterlimit="4"/>
                  <v:textbox inset="4pt,4pt,4pt,4pt">
                    <w:txbxContent>
                      <w:p w14:paraId="75419EF4" w14:textId="77777777" w:rsidR="00137DF8" w:rsidRPr="002A7A5B" w:rsidRDefault="0024621C">
                        <w:pPr>
                          <w:pStyle w:val="Title"/>
                          <w:rPr>
                            <w:rFonts w:hint="eastAsia"/>
                            <w:sz w:val="72"/>
                            <w:szCs w:val="72"/>
                          </w:rPr>
                        </w:pPr>
                        <w:r w:rsidRPr="002A7A5B">
                          <w:rPr>
                            <w:color w:val="599DFF"/>
                            <w:sz w:val="72"/>
                            <w:szCs w:val="72"/>
                            <w14:textFill>
                              <w14:solidFill>
                                <w14:srgbClr w14:val="599DFF"/>
                              </w14:solidFill>
                            </w14:textFill>
                          </w:rPr>
                          <w:t>Diagnostikas un profilakses standarts</w:t>
                        </w:r>
                      </w:p>
                    </w:txbxContent>
                  </v:textbox>
                </v:shape>
                <v:shape id="Trakumsērgas cilvēkiem" o:spid="_x0000_s1029" type="#_x0000_t202" style="position:absolute;left:508;top:8365;width:63881;height:867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" filled="f" stroked="f" strokeweight="1pt">
                  <v:stroke miterlimit="4"/>
                  <v:textbox inset="4pt,4pt,4pt,4pt">
                    <w:txbxContent>
                      <w:p w14:paraId="3832F6D3" w14:textId="0B0938BD" w:rsidR="00137DF8" w:rsidRDefault="0024621C">
                        <w:pPr>
                          <w:pStyle w:val="Subtitle"/>
                          <w:rPr>
                            <w:rFonts w:hint="eastAsia"/>
                          </w:rPr>
                        </w:pPr>
                        <w:r>
                          <w:t>Trakumsērga cilvēkiem</w:t>
                        </w:r>
                        <w:r w:rsidR="003062F3">
                          <w:t>.</w:t>
                        </w:r>
                      </w:p>
                    </w:txbxContent>
                  </v:textbox>
                </v:shape>
                <w10:wrap anchorx="page" anchory="page"/>
              </v:group>
            </w:pict>
          </mc:Fallback>
        </mc:AlternateContent>
      </w:r>
    </w:p>
    <w:p w14:paraId="4C6FC397" w14:textId="77777777" w:rsidR="00137DF8" w:rsidRDefault="00137DF8">
      <w:pPr>
        <w:pStyle w:val="Attribution"/>
      </w:pPr>
    </w:p>
    <w:p w14:paraId="76AF58A9" w14:textId="77777777" w:rsidR="00137DF8" w:rsidRDefault="00137DF8">
      <w:pPr>
        <w:pStyle w:val="Attribution"/>
      </w:pPr>
    </w:p>
    <w:p w14:paraId="3FE93F4F" w14:textId="77777777" w:rsidR="00137DF8" w:rsidRDefault="00137DF8">
      <w:pPr>
        <w:pStyle w:val="Attribution"/>
      </w:pPr>
    </w:p>
    <w:p w14:paraId="722E9389" w14:textId="77777777" w:rsidR="00137DF8" w:rsidRDefault="00137DF8">
      <w:pPr>
        <w:pStyle w:val="Attribution"/>
      </w:pPr>
    </w:p>
    <w:p w14:paraId="7FDEE6CD" w14:textId="77777777" w:rsidR="00137DF8" w:rsidRDefault="00137DF8">
      <w:pPr>
        <w:pStyle w:val="Attribution"/>
      </w:pPr>
    </w:p>
    <w:p w14:paraId="25494661" w14:textId="77777777" w:rsidR="00137DF8" w:rsidRDefault="00137DF8">
      <w:pPr>
        <w:pStyle w:val="Attribution"/>
      </w:pPr>
    </w:p>
    <w:p w14:paraId="071DAD1E" w14:textId="77777777" w:rsidR="00137DF8" w:rsidRDefault="00137DF8">
      <w:pPr>
        <w:pStyle w:val="Attribution"/>
      </w:pPr>
    </w:p>
    <w:p w14:paraId="1886FC04" w14:textId="77777777" w:rsidR="00137DF8" w:rsidRDefault="00137DF8">
      <w:pPr>
        <w:pStyle w:val="Attribution"/>
      </w:pPr>
    </w:p>
    <w:p w14:paraId="0D7EEE10" w14:textId="77777777" w:rsidR="00137DF8" w:rsidRDefault="00137DF8">
      <w:pPr>
        <w:pStyle w:val="Attribution"/>
      </w:pPr>
    </w:p>
    <w:p w14:paraId="597F8FA9" w14:textId="77777777" w:rsidR="00137DF8" w:rsidRDefault="00137DF8">
      <w:pPr>
        <w:pStyle w:val="Attribution"/>
      </w:pPr>
    </w:p>
    <w:p w14:paraId="0DB73AE9" w14:textId="77777777" w:rsidR="00137DF8" w:rsidRDefault="00137DF8">
      <w:pPr>
        <w:pStyle w:val="Attribution"/>
      </w:pPr>
    </w:p>
    <w:p w14:paraId="495BC16E" w14:textId="77777777" w:rsidR="00137DF8" w:rsidRDefault="00137DF8">
      <w:pPr>
        <w:pStyle w:val="Attribution"/>
      </w:pPr>
    </w:p>
    <w:p w14:paraId="6018690F" w14:textId="77777777" w:rsidR="00137DF8" w:rsidRDefault="00137DF8">
      <w:pPr>
        <w:pStyle w:val="Attribution"/>
      </w:pPr>
    </w:p>
    <w:p w14:paraId="238344F5" w14:textId="77777777" w:rsidR="00137DF8" w:rsidRDefault="00137DF8">
      <w:pPr>
        <w:pStyle w:val="Attribution"/>
      </w:pPr>
    </w:p>
    <w:p w14:paraId="7DF9430B" w14:textId="77777777" w:rsidR="00137DF8" w:rsidRDefault="00137DF8">
      <w:pPr>
        <w:pStyle w:val="Attribution"/>
      </w:pPr>
    </w:p>
    <w:p w14:paraId="5E8DE73E" w14:textId="77777777" w:rsidR="00137DF8" w:rsidRDefault="00137DF8">
      <w:pPr>
        <w:pStyle w:val="Attribution"/>
      </w:pPr>
    </w:p>
    <w:p w14:paraId="04ED253F" w14:textId="77777777" w:rsidR="00137DF8" w:rsidRDefault="00137DF8">
      <w:pPr>
        <w:pStyle w:val="Attribution"/>
      </w:pPr>
    </w:p>
    <w:p w14:paraId="18BA8EB2" w14:textId="77777777" w:rsidR="00137DF8" w:rsidRDefault="00137DF8">
      <w:pPr>
        <w:pStyle w:val="Attribution"/>
      </w:pPr>
    </w:p>
    <w:p w14:paraId="48010DF8" w14:textId="77777777" w:rsidR="00137DF8" w:rsidRDefault="00137DF8">
      <w:pPr>
        <w:pStyle w:val="Attribution"/>
      </w:pPr>
    </w:p>
    <w:p w14:paraId="6B81AB9F" w14:textId="77777777" w:rsidR="00137DF8" w:rsidRDefault="00137DF8">
      <w:pPr>
        <w:pStyle w:val="Attribution"/>
      </w:pPr>
    </w:p>
    <w:p w14:paraId="68A1EC5E" w14:textId="77777777" w:rsidR="00137DF8" w:rsidRDefault="00137DF8">
      <w:pPr>
        <w:pStyle w:val="Attribution"/>
        <w:jc w:val="center"/>
        <w:rPr>
          <w:sz w:val="22"/>
          <w:szCs w:val="22"/>
        </w:rPr>
      </w:pPr>
    </w:p>
    <w:p w14:paraId="26F5CADC" w14:textId="77777777" w:rsidR="00137DF8" w:rsidRDefault="00137DF8">
      <w:pPr>
        <w:pStyle w:val="Attribution"/>
        <w:jc w:val="center"/>
        <w:rPr>
          <w:sz w:val="22"/>
          <w:szCs w:val="22"/>
        </w:rPr>
      </w:pPr>
    </w:p>
    <w:p w14:paraId="3E74254D" w14:textId="77777777" w:rsidR="00137DF8" w:rsidRDefault="0024621C">
      <w:pPr>
        <w:pStyle w:val="Attribution"/>
        <w:jc w:val="center"/>
        <w:sectPr w:rsidR="00137DF8" w:rsidSect="00F42A5F">
          <w:headerReference w:type="default" r:id="rId7"/>
          <w:footerReference w:type="default" r:id="rId8"/>
          <w:pgSz w:w="11900" w:h="16840"/>
          <w:pgMar w:top="1440" w:right="1080" w:bottom="1800" w:left="1080" w:header="500" w:footer="400" w:gutter="0"/>
          <w:cols w:space="720"/>
          <w:titlePg/>
        </w:sectPr>
      </w:pPr>
      <w:r>
        <w:rPr>
          <w:sz w:val="22"/>
          <w:szCs w:val="22"/>
        </w:rPr>
        <w:t>Rīga, 2023</w:t>
      </w:r>
    </w:p>
    <w:p w14:paraId="08C7CA7A" w14:textId="77777777" w:rsidR="00137DF8" w:rsidRDefault="0024621C">
      <w:pPr>
        <w:pStyle w:val="Attribution"/>
        <w:spacing w:after="160" w:line="288" w:lineRule="auto"/>
        <w:rPr>
          <w:rFonts w:ascii="Graphik" w:eastAsia="Graphik" w:hAnsi="Graphik" w:cs="Graphik"/>
          <w:b/>
          <w:bCs/>
          <w:sz w:val="18"/>
          <w:szCs w:val="18"/>
        </w:rPr>
      </w:pPr>
      <w:r>
        <w:rPr>
          <w:rFonts w:ascii="Graphik" w:hAnsi="Graphik"/>
          <w:b/>
          <w:bCs/>
          <w:sz w:val="18"/>
          <w:szCs w:val="18"/>
        </w:rPr>
        <w:lastRenderedPageBreak/>
        <w:t>Saturs</w:t>
      </w:r>
    </w:p>
    <w:p w14:paraId="73AF5314" w14:textId="20682E73"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 Trakumsērgas gadījumu standarta definīcijas </w:t>
      </w:r>
      <w:r>
        <w:rPr>
          <w:rFonts w:ascii="Graphik" w:hAnsi="Graphik"/>
          <w:sz w:val="18"/>
          <w:szCs w:val="18"/>
        </w:rPr>
        <w:tab/>
      </w:r>
      <w:r w:rsidR="009019B2">
        <w:rPr>
          <w:rFonts w:ascii="Graphik" w:hAnsi="Graphik"/>
          <w:sz w:val="18"/>
          <w:szCs w:val="18"/>
        </w:rPr>
        <w:t>5</w:t>
      </w:r>
    </w:p>
    <w:p w14:paraId="28131F47" w14:textId="7F61C12C"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2. Patoģenēze un klīnika </w:t>
      </w:r>
      <w:r>
        <w:rPr>
          <w:rFonts w:ascii="Graphik" w:hAnsi="Graphik"/>
          <w:sz w:val="18"/>
          <w:szCs w:val="18"/>
        </w:rPr>
        <w:tab/>
      </w:r>
      <w:r w:rsidR="006D3370">
        <w:rPr>
          <w:rFonts w:ascii="Graphik" w:hAnsi="Graphik"/>
          <w:sz w:val="18"/>
          <w:szCs w:val="18"/>
        </w:rPr>
        <w:t>5</w:t>
      </w:r>
    </w:p>
    <w:p w14:paraId="00A3A7C3" w14:textId="64C99F53"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3. Trakumsērgas simptomātika cilvēkam </w:t>
      </w:r>
      <w:r>
        <w:rPr>
          <w:rFonts w:ascii="Graphik" w:hAnsi="Graphik"/>
          <w:sz w:val="18"/>
          <w:szCs w:val="18"/>
        </w:rPr>
        <w:tab/>
      </w:r>
      <w:r w:rsidR="004902BD">
        <w:rPr>
          <w:rFonts w:ascii="Graphik" w:hAnsi="Graphik"/>
          <w:sz w:val="18"/>
          <w:szCs w:val="18"/>
        </w:rPr>
        <w:t>6</w:t>
      </w:r>
    </w:p>
    <w:p w14:paraId="21678376" w14:textId="56D4454D"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4. Riska izvērtēšana </w:t>
      </w:r>
      <w:r>
        <w:rPr>
          <w:rFonts w:ascii="Graphik" w:hAnsi="Graphik"/>
          <w:sz w:val="18"/>
          <w:szCs w:val="18"/>
        </w:rPr>
        <w:tab/>
      </w:r>
      <w:r w:rsidR="004902BD">
        <w:rPr>
          <w:rFonts w:ascii="Graphik" w:hAnsi="Graphik"/>
          <w:sz w:val="18"/>
          <w:szCs w:val="18"/>
        </w:rPr>
        <w:t>7</w:t>
      </w:r>
    </w:p>
    <w:p w14:paraId="1B2B125F" w14:textId="441B97AF"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5. Pēcekspozīcijas profilakse </w:t>
      </w:r>
      <w:r>
        <w:rPr>
          <w:rFonts w:ascii="Graphik" w:hAnsi="Graphik"/>
          <w:sz w:val="18"/>
          <w:szCs w:val="18"/>
        </w:rPr>
        <w:tab/>
      </w:r>
      <w:r w:rsidR="004902BD">
        <w:rPr>
          <w:rFonts w:ascii="Graphik" w:hAnsi="Graphik"/>
          <w:sz w:val="18"/>
          <w:szCs w:val="18"/>
        </w:rPr>
        <w:t>10</w:t>
      </w:r>
    </w:p>
    <w:p w14:paraId="5E6C96F2" w14:textId="30E5E674"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6. Brūču apstrāde </w:t>
      </w:r>
      <w:r>
        <w:rPr>
          <w:rFonts w:ascii="Graphik" w:hAnsi="Graphik"/>
          <w:sz w:val="18"/>
          <w:szCs w:val="18"/>
        </w:rPr>
        <w:tab/>
      </w:r>
      <w:r w:rsidR="004902BD">
        <w:rPr>
          <w:rFonts w:ascii="Graphik" w:hAnsi="Graphik"/>
          <w:sz w:val="18"/>
          <w:szCs w:val="18"/>
        </w:rPr>
        <w:t>10</w:t>
      </w:r>
    </w:p>
    <w:p w14:paraId="06E7AE9A" w14:textId="525044B0"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7. Pēcekspozīcijas profilakses shēmas </w:t>
      </w:r>
      <w:r>
        <w:rPr>
          <w:rFonts w:ascii="Graphik" w:hAnsi="Graphik"/>
          <w:sz w:val="18"/>
          <w:szCs w:val="18"/>
        </w:rPr>
        <w:tab/>
      </w:r>
      <w:r w:rsidR="004902BD">
        <w:rPr>
          <w:rFonts w:ascii="Graphik" w:hAnsi="Graphik"/>
          <w:sz w:val="18"/>
          <w:szCs w:val="18"/>
        </w:rPr>
        <w:t>10</w:t>
      </w:r>
    </w:p>
    <w:p w14:paraId="0121FC4D" w14:textId="2FA458FD"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8. Personas, kas uzsākušas pēcekspozīcijas profilaksi ārzemēs </w:t>
      </w:r>
      <w:r>
        <w:rPr>
          <w:rFonts w:ascii="Graphik" w:hAnsi="Graphik"/>
          <w:sz w:val="18"/>
          <w:szCs w:val="18"/>
        </w:rPr>
        <w:tab/>
        <w:t>1</w:t>
      </w:r>
      <w:r w:rsidR="00407BF0">
        <w:rPr>
          <w:rFonts w:ascii="Graphik" w:hAnsi="Graphik"/>
          <w:sz w:val="18"/>
          <w:szCs w:val="18"/>
        </w:rPr>
        <w:t>4</w:t>
      </w:r>
    </w:p>
    <w:p w14:paraId="0FD8CBD9" w14:textId="6973D318"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9. Imūnkompromitētās personas </w:t>
      </w:r>
      <w:r>
        <w:rPr>
          <w:rFonts w:ascii="Graphik" w:hAnsi="Graphik"/>
          <w:sz w:val="18"/>
          <w:szCs w:val="18"/>
        </w:rPr>
        <w:tab/>
        <w:t>1</w:t>
      </w:r>
      <w:r w:rsidR="00407BF0">
        <w:rPr>
          <w:rFonts w:ascii="Graphik" w:hAnsi="Graphik"/>
          <w:sz w:val="18"/>
          <w:szCs w:val="18"/>
        </w:rPr>
        <w:t>5</w:t>
      </w:r>
    </w:p>
    <w:p w14:paraId="0B110E51" w14:textId="1FB6327B"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10. Pirmsekspozīcijas profilakse </w:t>
      </w:r>
      <w:r>
        <w:rPr>
          <w:rFonts w:ascii="Graphik" w:hAnsi="Graphik"/>
          <w:sz w:val="18"/>
          <w:szCs w:val="18"/>
        </w:rPr>
        <w:tab/>
        <w:t>1</w:t>
      </w:r>
      <w:r w:rsidR="00407BF0">
        <w:rPr>
          <w:rFonts w:ascii="Graphik" w:hAnsi="Graphik"/>
          <w:sz w:val="18"/>
          <w:szCs w:val="18"/>
        </w:rPr>
        <w:t>6</w:t>
      </w:r>
    </w:p>
    <w:p w14:paraId="285EE72C" w14:textId="4F0328EC"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11. Trakumsērgas vakcīnas un īmunglobulīni </w:t>
      </w:r>
      <w:r>
        <w:rPr>
          <w:rFonts w:ascii="Graphik" w:hAnsi="Graphik"/>
          <w:sz w:val="18"/>
          <w:szCs w:val="18"/>
        </w:rPr>
        <w:tab/>
        <w:t>1</w:t>
      </w:r>
      <w:r w:rsidR="00407BF0">
        <w:rPr>
          <w:rFonts w:ascii="Graphik" w:hAnsi="Graphik"/>
          <w:sz w:val="18"/>
          <w:szCs w:val="18"/>
        </w:rPr>
        <w:t>8</w:t>
      </w:r>
    </w:p>
    <w:p w14:paraId="5BD7457B" w14:textId="336EC943"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12. Trakumsērgas gadījumu klīniskā un laboratorā diagnostika </w:t>
      </w:r>
      <w:r>
        <w:rPr>
          <w:rFonts w:ascii="Graphik" w:hAnsi="Graphik"/>
          <w:sz w:val="18"/>
          <w:szCs w:val="18"/>
        </w:rPr>
        <w:tab/>
      </w:r>
      <w:r w:rsidR="00C22E1D">
        <w:rPr>
          <w:rFonts w:ascii="Graphik" w:hAnsi="Graphik"/>
          <w:sz w:val="18"/>
          <w:szCs w:val="18"/>
        </w:rPr>
        <w:t>20</w:t>
      </w:r>
    </w:p>
    <w:p w14:paraId="6C91749B" w14:textId="45F8EB8A"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13. Ar trakumsērgu slimo pacientu aprūpe </w:t>
      </w:r>
      <w:r>
        <w:rPr>
          <w:rFonts w:ascii="Graphik" w:hAnsi="Graphik"/>
          <w:sz w:val="18"/>
          <w:szCs w:val="18"/>
        </w:rPr>
        <w:tab/>
        <w:t>2</w:t>
      </w:r>
      <w:r w:rsidR="00682354">
        <w:rPr>
          <w:rFonts w:ascii="Graphik" w:hAnsi="Graphik"/>
          <w:sz w:val="18"/>
          <w:szCs w:val="18"/>
        </w:rPr>
        <w:t>6</w:t>
      </w:r>
    </w:p>
    <w:p w14:paraId="23335CA4"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14. Izmantotā literatūra </w:t>
      </w:r>
      <w:r>
        <w:rPr>
          <w:rFonts w:ascii="Graphik" w:hAnsi="Graphik"/>
          <w:sz w:val="18"/>
          <w:szCs w:val="18"/>
        </w:rPr>
        <w:tab/>
        <w:t>29</w:t>
      </w:r>
    </w:p>
    <w:p w14:paraId="0475BCA6"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Pielikumi </w:t>
      </w:r>
      <w:r>
        <w:rPr>
          <w:rFonts w:ascii="Graphik" w:hAnsi="Graphik"/>
          <w:sz w:val="18"/>
          <w:szCs w:val="18"/>
        </w:rPr>
        <w:tab/>
        <w:t>31</w:t>
      </w:r>
    </w:p>
    <w:p w14:paraId="33D2E135" w14:textId="77777777" w:rsidR="00137DF8" w:rsidRDefault="00137DF8">
      <w:pPr>
        <w:pStyle w:val="Attribution"/>
        <w:spacing w:after="160" w:line="288" w:lineRule="auto"/>
        <w:rPr>
          <w:rFonts w:ascii="Graphik" w:eastAsia="Graphik" w:hAnsi="Graphik" w:cs="Graphik"/>
          <w:sz w:val="18"/>
          <w:szCs w:val="18"/>
        </w:rPr>
      </w:pPr>
    </w:p>
    <w:p w14:paraId="3C166ADF" w14:textId="77777777" w:rsidR="00137DF8" w:rsidRDefault="00137DF8">
      <w:pPr>
        <w:pStyle w:val="Attribution"/>
        <w:spacing w:after="160" w:line="288" w:lineRule="auto"/>
        <w:rPr>
          <w:rFonts w:ascii="Graphik" w:eastAsia="Graphik" w:hAnsi="Graphik" w:cs="Graphik"/>
          <w:sz w:val="18"/>
          <w:szCs w:val="18"/>
        </w:rPr>
      </w:pPr>
    </w:p>
    <w:p w14:paraId="430EC4D4" w14:textId="77777777" w:rsidR="00137DF8" w:rsidRDefault="00137DF8">
      <w:pPr>
        <w:pStyle w:val="Attribution"/>
        <w:spacing w:after="160" w:line="288" w:lineRule="auto"/>
        <w:rPr>
          <w:rFonts w:ascii="Graphik" w:eastAsia="Graphik" w:hAnsi="Graphik" w:cs="Graphik"/>
          <w:sz w:val="18"/>
          <w:szCs w:val="18"/>
        </w:rPr>
      </w:pPr>
    </w:p>
    <w:p w14:paraId="28A1CE5C" w14:textId="77777777" w:rsidR="00137DF8" w:rsidRDefault="00137DF8">
      <w:pPr>
        <w:pStyle w:val="Attribution"/>
        <w:spacing w:after="160" w:line="288" w:lineRule="auto"/>
        <w:rPr>
          <w:rFonts w:ascii="Graphik" w:eastAsia="Graphik" w:hAnsi="Graphik" w:cs="Graphik"/>
          <w:sz w:val="18"/>
          <w:szCs w:val="18"/>
        </w:rPr>
      </w:pPr>
    </w:p>
    <w:p w14:paraId="627674FD" w14:textId="77777777" w:rsidR="00137DF8" w:rsidRDefault="00137DF8">
      <w:pPr>
        <w:pStyle w:val="Attribution"/>
        <w:spacing w:after="160" w:line="288" w:lineRule="auto"/>
        <w:rPr>
          <w:rFonts w:ascii="Graphik" w:eastAsia="Graphik" w:hAnsi="Graphik" w:cs="Graphik"/>
          <w:sz w:val="18"/>
          <w:szCs w:val="18"/>
        </w:rPr>
      </w:pPr>
    </w:p>
    <w:p w14:paraId="7572F861" w14:textId="77777777" w:rsidR="00137DF8" w:rsidRDefault="00137DF8">
      <w:pPr>
        <w:pStyle w:val="Attribution"/>
        <w:spacing w:after="160" w:line="288" w:lineRule="auto"/>
        <w:rPr>
          <w:rFonts w:ascii="Graphik" w:eastAsia="Graphik" w:hAnsi="Graphik" w:cs="Graphik"/>
          <w:sz w:val="18"/>
          <w:szCs w:val="18"/>
        </w:rPr>
      </w:pPr>
    </w:p>
    <w:p w14:paraId="56AFA5B6" w14:textId="77777777" w:rsidR="00137DF8" w:rsidRDefault="00137DF8">
      <w:pPr>
        <w:pStyle w:val="Attribution"/>
        <w:spacing w:after="160" w:line="288" w:lineRule="auto"/>
        <w:rPr>
          <w:rFonts w:ascii="Graphik" w:eastAsia="Graphik" w:hAnsi="Graphik" w:cs="Graphik"/>
          <w:sz w:val="18"/>
          <w:szCs w:val="18"/>
        </w:rPr>
      </w:pPr>
    </w:p>
    <w:p w14:paraId="2B75165A" w14:textId="77777777" w:rsidR="00137DF8" w:rsidRDefault="00137DF8">
      <w:pPr>
        <w:pStyle w:val="Attribution"/>
        <w:spacing w:after="160" w:line="288" w:lineRule="auto"/>
        <w:rPr>
          <w:rFonts w:ascii="Graphik" w:eastAsia="Graphik" w:hAnsi="Graphik" w:cs="Graphik"/>
          <w:sz w:val="18"/>
          <w:szCs w:val="18"/>
        </w:rPr>
      </w:pPr>
    </w:p>
    <w:p w14:paraId="45E74F5D" w14:textId="77777777" w:rsidR="00137DF8" w:rsidRDefault="00137DF8">
      <w:pPr>
        <w:pStyle w:val="Attribution"/>
        <w:spacing w:after="160" w:line="288" w:lineRule="auto"/>
        <w:rPr>
          <w:rFonts w:ascii="Graphik" w:eastAsia="Graphik" w:hAnsi="Graphik" w:cs="Graphik"/>
          <w:sz w:val="18"/>
          <w:szCs w:val="18"/>
        </w:rPr>
      </w:pPr>
    </w:p>
    <w:p w14:paraId="55DC865D" w14:textId="77777777" w:rsidR="00137DF8" w:rsidRDefault="00137DF8">
      <w:pPr>
        <w:pStyle w:val="Attribution"/>
        <w:spacing w:after="160" w:line="288" w:lineRule="auto"/>
        <w:rPr>
          <w:rFonts w:ascii="Graphik" w:eastAsia="Graphik" w:hAnsi="Graphik" w:cs="Graphik"/>
          <w:sz w:val="18"/>
          <w:szCs w:val="18"/>
        </w:rPr>
      </w:pPr>
    </w:p>
    <w:p w14:paraId="081B86FD" w14:textId="77777777" w:rsidR="00137DF8" w:rsidRDefault="00137DF8">
      <w:pPr>
        <w:pStyle w:val="Attribution"/>
        <w:spacing w:after="160" w:line="288" w:lineRule="auto"/>
        <w:rPr>
          <w:rFonts w:ascii="Graphik" w:eastAsia="Graphik" w:hAnsi="Graphik" w:cs="Graphik"/>
          <w:sz w:val="18"/>
          <w:szCs w:val="18"/>
        </w:rPr>
      </w:pPr>
    </w:p>
    <w:p w14:paraId="23164C4A" w14:textId="77777777" w:rsidR="00137DF8" w:rsidRDefault="00137DF8">
      <w:pPr>
        <w:pStyle w:val="Attribution"/>
        <w:spacing w:after="160" w:line="288" w:lineRule="auto"/>
        <w:rPr>
          <w:rFonts w:ascii="Graphik" w:eastAsia="Graphik" w:hAnsi="Graphik" w:cs="Graphik"/>
          <w:sz w:val="18"/>
          <w:szCs w:val="18"/>
        </w:rPr>
      </w:pPr>
    </w:p>
    <w:p w14:paraId="29796516" w14:textId="77777777" w:rsidR="00137DF8" w:rsidRDefault="00137DF8">
      <w:pPr>
        <w:pStyle w:val="Attribution"/>
        <w:spacing w:after="160" w:line="288" w:lineRule="auto"/>
        <w:rPr>
          <w:rFonts w:ascii="Graphik" w:eastAsia="Graphik" w:hAnsi="Graphik" w:cs="Graphik"/>
          <w:sz w:val="18"/>
          <w:szCs w:val="18"/>
        </w:rPr>
      </w:pPr>
    </w:p>
    <w:p w14:paraId="3127CB4B" w14:textId="77777777" w:rsidR="00137DF8" w:rsidRDefault="00137DF8">
      <w:pPr>
        <w:pStyle w:val="Attribution"/>
        <w:spacing w:after="160" w:line="288" w:lineRule="auto"/>
        <w:rPr>
          <w:rFonts w:ascii="Graphik" w:eastAsia="Graphik" w:hAnsi="Graphik" w:cs="Graphik"/>
          <w:sz w:val="18"/>
          <w:szCs w:val="18"/>
        </w:rPr>
      </w:pPr>
    </w:p>
    <w:p w14:paraId="5EAECEF7" w14:textId="77777777" w:rsidR="00E052D2" w:rsidRDefault="00E052D2">
      <w:pPr>
        <w:pStyle w:val="Attribution"/>
        <w:spacing w:after="160" w:line="288" w:lineRule="auto"/>
        <w:rPr>
          <w:rFonts w:ascii="Graphik" w:eastAsia="Graphik" w:hAnsi="Graphik" w:cs="Graphik"/>
          <w:sz w:val="18"/>
          <w:szCs w:val="18"/>
        </w:rPr>
      </w:pPr>
    </w:p>
    <w:p w14:paraId="7346C7F2" w14:textId="77777777" w:rsidR="00E052D2" w:rsidRDefault="00E052D2">
      <w:pPr>
        <w:pStyle w:val="Attribution"/>
        <w:spacing w:after="160" w:line="288" w:lineRule="auto"/>
        <w:rPr>
          <w:rFonts w:ascii="Graphik" w:eastAsia="Graphik" w:hAnsi="Graphik" w:cs="Graphik"/>
          <w:sz w:val="18"/>
          <w:szCs w:val="18"/>
        </w:rPr>
      </w:pPr>
    </w:p>
    <w:p w14:paraId="7D719688" w14:textId="77777777" w:rsidR="00E052D2" w:rsidRDefault="00E052D2">
      <w:pPr>
        <w:pStyle w:val="Attribution"/>
        <w:spacing w:after="160" w:line="288" w:lineRule="auto"/>
        <w:rPr>
          <w:rFonts w:ascii="Graphik" w:eastAsia="Graphik" w:hAnsi="Graphik" w:cs="Graphik"/>
          <w:sz w:val="18"/>
          <w:szCs w:val="18"/>
        </w:rPr>
      </w:pPr>
    </w:p>
    <w:p w14:paraId="09A8D6EC" w14:textId="77777777" w:rsidR="00137DF8" w:rsidRDefault="0024621C">
      <w:pPr>
        <w:pStyle w:val="Attribution"/>
        <w:spacing w:after="160" w:line="288" w:lineRule="auto"/>
        <w:rPr>
          <w:rFonts w:ascii="Graphik" w:eastAsia="Graphik" w:hAnsi="Graphik" w:cs="Graphik"/>
          <w:b/>
          <w:bCs/>
          <w:sz w:val="18"/>
          <w:szCs w:val="18"/>
        </w:rPr>
      </w:pPr>
      <w:r>
        <w:rPr>
          <w:rFonts w:ascii="Graphik" w:hAnsi="Graphik"/>
          <w:b/>
          <w:bCs/>
          <w:sz w:val="18"/>
          <w:szCs w:val="18"/>
        </w:rPr>
        <w:lastRenderedPageBreak/>
        <w:t>Tekstā izmantotie saīsinājumi</w:t>
      </w:r>
    </w:p>
    <w:p w14:paraId="2D49C46C"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BIOR - Pārtikas drošības, dzīvnieku veselības un vides zinātniskais institūts “BIOR”</w:t>
      </w:r>
    </w:p>
    <w:p w14:paraId="02012EEB"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CSŠ - cerebrospinālais šķidrums</w:t>
      </w:r>
    </w:p>
    <w:p w14:paraId="02718C05" w14:textId="77777777" w:rsidR="00137DF8" w:rsidRPr="0021328C" w:rsidRDefault="0024621C">
      <w:pPr>
        <w:pStyle w:val="Default"/>
        <w:spacing w:after="160" w:line="288" w:lineRule="auto"/>
        <w:outlineLvl w:val="0"/>
        <w:rPr>
          <w:rFonts w:hint="eastAsia"/>
          <w:color w:val="4D4D4D"/>
          <w:sz w:val="18"/>
          <w:szCs w:val="18"/>
          <w:u w:color="4D4D4D"/>
          <w:lang w:val="lv-LV"/>
          <w14:textOutline w14:w="12700" w14:cap="flat" w14:cmpd="sng" w14:algn="ctr">
            <w14:noFill/>
            <w14:prstDash w14:val="solid"/>
            <w14:miter w14:lim="400000"/>
          </w14:textOutline>
        </w:rPr>
      </w:pPr>
      <w:r w:rsidRPr="0021328C">
        <w:rPr>
          <w:sz w:val="18"/>
          <w:szCs w:val="18"/>
          <w:u w:color="000000"/>
          <w:lang w:val="lv-LV"/>
          <w14:textOutline w14:w="12700" w14:cap="flat" w14:cmpd="sng" w14:algn="ctr">
            <w14:noFill/>
            <w14:prstDash w14:val="solid"/>
            <w14:miter w14:lim="400000"/>
          </w14:textOutline>
        </w:rPr>
        <w:t xml:space="preserve">DFAT </w:t>
      </w:r>
      <w:r w:rsidRPr="0021328C">
        <w:rPr>
          <w:i/>
          <w:iCs/>
          <w:sz w:val="18"/>
          <w:szCs w:val="18"/>
          <w:u w:color="000000"/>
          <w:lang w:val="lv-LV"/>
          <w14:textOutline w14:w="12700" w14:cap="flat" w14:cmpd="sng" w14:algn="ctr">
            <w14:noFill/>
            <w14:prstDash w14:val="solid"/>
            <w14:miter w14:lim="400000"/>
          </w14:textOutline>
        </w:rPr>
        <w:t xml:space="preserve">(direct fluorescent antibody test) </w:t>
      </w:r>
      <w:r w:rsidRPr="0021328C">
        <w:rPr>
          <w:sz w:val="18"/>
          <w:szCs w:val="18"/>
          <w:u w:color="000000"/>
          <w:lang w:val="lv-LV"/>
          <w14:textOutline w14:w="12700" w14:cap="flat" w14:cmpd="sng" w14:algn="ctr">
            <w14:noFill/>
            <w14:prstDash w14:val="solid"/>
            <w14:miter w14:lim="400000"/>
          </w14:textOutline>
        </w:rPr>
        <w:t>- tiešais fluorescējošo antivielu tests</w:t>
      </w:r>
    </w:p>
    <w:p w14:paraId="59155A75" w14:textId="77777777" w:rsidR="00137DF8" w:rsidRDefault="0024621C">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DRIT </w:t>
      </w:r>
      <w:r>
        <w:rPr>
          <w:i/>
          <w:iCs/>
          <w:sz w:val="18"/>
          <w:szCs w:val="18"/>
          <w:u w:color="000000"/>
          <w14:textOutline w14:w="12700" w14:cap="flat" w14:cmpd="sng" w14:algn="ctr">
            <w14:noFill/>
            <w14:prstDash w14:val="solid"/>
            <w14:miter w14:lim="400000"/>
          </w14:textOutline>
        </w:rPr>
        <w:t xml:space="preserve">(direct rapid immunohistochemical test) - </w:t>
      </w:r>
      <w:r>
        <w:rPr>
          <w:sz w:val="18"/>
          <w:szCs w:val="18"/>
          <w:u w:color="000000"/>
          <w14:textOutline w14:w="12700" w14:cap="flat" w14:cmpd="sng" w14:algn="ctr">
            <w14:noFill/>
            <w14:prstDash w14:val="solid"/>
            <w14:miter w14:lim="400000"/>
          </w14:textOutline>
        </w:rPr>
        <w:t>tiešais ātrais imūnhistoķīmiskais tests</w:t>
      </w:r>
    </w:p>
    <w:p w14:paraId="233C25A6" w14:textId="77777777" w:rsidR="00137DF8" w:rsidRDefault="0024621C">
      <w:pPr>
        <w:pStyle w:val="Default"/>
        <w:spacing w:after="160" w:line="288" w:lineRule="auto"/>
        <w:outlineLvl w:val="0"/>
        <w:rPr>
          <w:rFonts w:hint="eastAsia"/>
          <w:i/>
          <w:iCs/>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ELISA </w:t>
      </w:r>
      <w:r>
        <w:rPr>
          <w:i/>
          <w:iCs/>
          <w:sz w:val="18"/>
          <w:szCs w:val="18"/>
          <w:u w:color="000000"/>
          <w14:textOutline w14:w="12700" w14:cap="flat" w14:cmpd="sng" w14:algn="ctr">
            <w14:noFill/>
            <w14:prstDash w14:val="solid"/>
            <w14:miter w14:lim="400000"/>
          </w14:textOutline>
        </w:rPr>
        <w:t xml:space="preserve">(enzyme-linked immunosorbent assay) </w:t>
      </w:r>
      <w:r>
        <w:rPr>
          <w:sz w:val="18"/>
          <w:szCs w:val="18"/>
          <w:u w:color="000000"/>
          <w14:textOutline w14:w="12700" w14:cap="flat" w14:cmpd="sng" w14:algn="ctr">
            <w14:noFill/>
            <w14:prstDash w14:val="solid"/>
            <w14:miter w14:lim="400000"/>
          </w14:textOutline>
        </w:rPr>
        <w:t>- ar enzīmu saistītais imūnsorbcijas tests</w:t>
      </w:r>
    </w:p>
    <w:p w14:paraId="557D19C2" w14:textId="77777777" w:rsidR="00137DF8" w:rsidRDefault="0024621C">
      <w:pPr>
        <w:pStyle w:val="Default"/>
        <w:spacing w:after="160" w:line="288" w:lineRule="auto"/>
        <w:outlineLvl w:val="0"/>
        <w:rPr>
          <w:rFonts w:hint="eastAsia"/>
          <w:color w:val="4D4D4D"/>
          <w:sz w:val="18"/>
          <w:szCs w:val="18"/>
          <w:u w:color="4D4D4D"/>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FAVN </w:t>
      </w:r>
      <w:r>
        <w:rPr>
          <w:i/>
          <w:iCs/>
          <w:sz w:val="18"/>
          <w:szCs w:val="18"/>
          <w:u w:color="000000"/>
          <w14:textOutline w14:w="12700" w14:cap="flat" w14:cmpd="sng" w14:algn="ctr">
            <w14:noFill/>
            <w14:prstDash w14:val="solid"/>
            <w14:miter w14:lim="400000"/>
          </w14:textOutline>
        </w:rPr>
        <w:t xml:space="preserve">(fluorescent antibody virus neutralization) </w:t>
      </w:r>
      <w:r>
        <w:rPr>
          <w:sz w:val="18"/>
          <w:szCs w:val="18"/>
          <w:u w:color="000000"/>
          <w14:textOutline w14:w="12700" w14:cap="flat" w14:cmpd="sng" w14:algn="ctr">
            <w14:noFill/>
            <w14:prstDash w14:val="solid"/>
            <w14:miter w14:lim="400000"/>
          </w14:textOutline>
        </w:rPr>
        <w:t xml:space="preserve">- fluoriscējošu antivielu vīrusa neitralizācija </w:t>
      </w:r>
    </w:p>
    <w:p w14:paraId="3B521A1E"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ID - intradermāli</w:t>
      </w:r>
    </w:p>
    <w:p w14:paraId="57C0C74A" w14:textId="77777777" w:rsidR="00137DF8" w:rsidRDefault="0024621C">
      <w:pPr>
        <w:pStyle w:val="Default"/>
        <w:spacing w:after="160" w:line="288" w:lineRule="auto"/>
        <w:outlineLvl w:val="0"/>
        <w:rPr>
          <w:rFonts w:hint="eastAsia"/>
          <w:i/>
          <w:iCs/>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IFA </w:t>
      </w:r>
      <w:r>
        <w:rPr>
          <w:i/>
          <w:iCs/>
          <w:sz w:val="18"/>
          <w:szCs w:val="18"/>
          <w:u w:color="000000"/>
          <w14:textOutline w14:w="12700" w14:cap="flat" w14:cmpd="sng" w14:algn="ctr">
            <w14:noFill/>
            <w14:prstDash w14:val="solid"/>
            <w14:miter w14:lim="400000"/>
          </w14:textOutline>
        </w:rPr>
        <w:t xml:space="preserve">(indirect immunofluorescence) - </w:t>
      </w:r>
      <w:r>
        <w:rPr>
          <w:sz w:val="18"/>
          <w:szCs w:val="18"/>
          <w:u w:color="000000"/>
          <w14:textOutline w14:w="12700" w14:cap="flat" w14:cmpd="sng" w14:algn="ctr">
            <w14:noFill/>
            <w14:prstDash w14:val="solid"/>
            <w14:miter w14:lim="400000"/>
          </w14:textOutline>
        </w:rPr>
        <w:t>netiešā īmūnfluorescence</w:t>
      </w:r>
    </w:p>
    <w:p w14:paraId="19AA4C49" w14:textId="77777777" w:rsidR="00137DF8" w:rsidRDefault="0024621C">
      <w:pPr>
        <w:pStyle w:val="Default"/>
        <w:spacing w:after="160" w:line="288" w:lineRule="auto"/>
        <w:outlineLvl w:val="0"/>
        <w:rPr>
          <w:rFonts w:hint="eastAsia"/>
          <w:color w:val="4D4D4D"/>
          <w:sz w:val="18"/>
          <w:szCs w:val="18"/>
          <w:u w:color="4D4D4D"/>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IHC </w:t>
      </w:r>
      <w:r>
        <w:rPr>
          <w:i/>
          <w:iCs/>
          <w:sz w:val="18"/>
          <w:szCs w:val="18"/>
          <w:u w:color="000000"/>
          <w14:textOutline w14:w="12700" w14:cap="flat" w14:cmpd="sng" w14:algn="ctr">
            <w14:noFill/>
            <w14:prstDash w14:val="solid"/>
            <w14:miter w14:lim="400000"/>
          </w14:textOutline>
        </w:rPr>
        <w:t xml:space="preserve">(immunohistochemistry on formalin-fixed samples) </w:t>
      </w:r>
      <w:r>
        <w:rPr>
          <w:sz w:val="18"/>
          <w:szCs w:val="18"/>
          <w:u w:color="000000"/>
          <w14:textOutline w14:w="12700" w14:cap="flat" w14:cmpd="sng" w14:algn="ctr">
            <w14:noFill/>
            <w14:prstDash w14:val="solid"/>
            <w14:miter w14:lim="400000"/>
          </w14:textOutline>
        </w:rPr>
        <w:t>- imūnhistoķīmija formalīnā fiksētiem paraugiem</w:t>
      </w:r>
    </w:p>
    <w:p w14:paraId="353D3D4D"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IM - intramuskulāri</w:t>
      </w:r>
    </w:p>
    <w:p w14:paraId="09656FF8" w14:textId="77777777" w:rsidR="00137DF8" w:rsidRDefault="0024621C">
      <w:pPr>
        <w:pStyle w:val="Default"/>
        <w:spacing w:after="160" w:line="288" w:lineRule="auto"/>
        <w:outlineLvl w:val="0"/>
        <w:rPr>
          <w:rFonts w:hint="eastAsia"/>
          <w:i/>
          <w:iCs/>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MI </w:t>
      </w:r>
      <w:r>
        <w:rPr>
          <w:i/>
          <w:iCs/>
          <w:sz w:val="18"/>
          <w:szCs w:val="18"/>
          <w:u w:color="000000"/>
          <w14:textOutline w14:w="12700" w14:cap="flat" w14:cmpd="sng" w14:algn="ctr">
            <w14:noFill/>
            <w14:prstDash w14:val="solid"/>
            <w14:miter w14:lim="400000"/>
          </w14:textOutline>
        </w:rPr>
        <w:t xml:space="preserve">(mouse inoculation test) </w:t>
      </w:r>
      <w:r>
        <w:rPr>
          <w:sz w:val="18"/>
          <w:szCs w:val="18"/>
          <w:u w:color="000000"/>
          <w14:textOutline w14:w="12700" w14:cap="flat" w14:cmpd="sng" w14:algn="ctr">
            <w14:noFill/>
            <w14:prstDash w14:val="solid"/>
            <w14:miter w14:lim="400000"/>
          </w14:textOutline>
        </w:rPr>
        <w:t>- peles inokulācijas tests</w:t>
      </w:r>
    </w:p>
    <w:p w14:paraId="13852B07" w14:textId="77777777" w:rsidR="00137DF8" w:rsidRDefault="0024621C">
      <w:pPr>
        <w:pStyle w:val="Default"/>
        <w:spacing w:after="160" w:line="288" w:lineRule="auto"/>
        <w:outlineLvl w:val="0"/>
        <w:rPr>
          <w:rFonts w:hint="eastAsia"/>
          <w:color w:val="4D4D4D"/>
          <w:sz w:val="18"/>
          <w:szCs w:val="18"/>
          <w:u w:color="4D4D4D"/>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NP - nav piemērojams</w:t>
      </w:r>
    </w:p>
    <w:p w14:paraId="76D06C47"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NRL - Nacionālā mikrobioloģijas references laboratorija</w:t>
      </w:r>
    </w:p>
    <w:p w14:paraId="34D6DD99"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PEP - pēcekspozīcijas profilakse</w:t>
      </w:r>
    </w:p>
    <w:p w14:paraId="32000F86"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PrEP - pirmsekspozīcijas profilakse</w:t>
      </w:r>
    </w:p>
    <w:p w14:paraId="47605275"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PVO - Pasaules veselības organizācija</w:t>
      </w:r>
    </w:p>
    <w:p w14:paraId="554836FB" w14:textId="77777777" w:rsidR="00137DF8" w:rsidRDefault="0024621C">
      <w:pPr>
        <w:pStyle w:val="Attribution"/>
        <w:spacing w:after="160" w:line="288" w:lineRule="auto"/>
        <w:rPr>
          <w:rFonts w:ascii="Graphik" w:eastAsia="Graphik" w:hAnsi="Graphik" w:cs="Graphik"/>
          <w:sz w:val="18"/>
          <w:szCs w:val="18"/>
        </w:rPr>
      </w:pPr>
      <w:r>
        <w:rPr>
          <w:rFonts w:ascii="Graphik" w:hAnsi="Graphik"/>
          <w:sz w:val="18"/>
          <w:szCs w:val="18"/>
        </w:rPr>
        <w:t xml:space="preserve">RIG - </w:t>
      </w:r>
      <w:r>
        <w:rPr>
          <w:rFonts w:ascii="Graphik" w:hAnsi="Graphik"/>
          <w:i/>
          <w:iCs/>
          <w:sz w:val="18"/>
          <w:szCs w:val="18"/>
        </w:rPr>
        <w:t>rabies</w:t>
      </w:r>
      <w:r>
        <w:rPr>
          <w:rFonts w:ascii="Graphik" w:hAnsi="Graphik"/>
          <w:sz w:val="18"/>
          <w:szCs w:val="18"/>
        </w:rPr>
        <w:t xml:space="preserve"> (trakumsērgas) imūnglobulīns</w:t>
      </w:r>
    </w:p>
    <w:p w14:paraId="4E722B47" w14:textId="77777777" w:rsidR="00137DF8" w:rsidRPr="0021328C" w:rsidRDefault="0024621C">
      <w:pPr>
        <w:pStyle w:val="Default"/>
        <w:spacing w:after="160" w:line="288" w:lineRule="auto"/>
        <w:outlineLvl w:val="0"/>
        <w:rPr>
          <w:rFonts w:hint="eastAsia"/>
          <w:i/>
          <w:iCs/>
          <w:sz w:val="18"/>
          <w:szCs w:val="18"/>
          <w:u w:color="000000"/>
          <w:lang w:val="lv-LV"/>
          <w14:textOutline w14:w="12700" w14:cap="flat" w14:cmpd="sng" w14:algn="ctr">
            <w14:noFill/>
            <w14:prstDash w14:val="solid"/>
            <w14:miter w14:lim="400000"/>
          </w14:textOutline>
        </w:rPr>
      </w:pPr>
      <w:r w:rsidRPr="0021328C">
        <w:rPr>
          <w:sz w:val="18"/>
          <w:szCs w:val="18"/>
          <w:u w:color="000000"/>
          <w:lang w:val="lv-LV"/>
          <w14:textOutline w14:w="12700" w14:cap="flat" w14:cmpd="sng" w14:algn="ctr">
            <w14:noFill/>
            <w14:prstDash w14:val="solid"/>
            <w14:miter w14:lim="400000"/>
          </w14:textOutline>
        </w:rPr>
        <w:t>RTCIT (</w:t>
      </w:r>
      <w:r w:rsidRPr="0021328C">
        <w:rPr>
          <w:i/>
          <w:iCs/>
          <w:sz w:val="18"/>
          <w:szCs w:val="18"/>
          <w:u w:color="000000"/>
          <w:lang w:val="lv-LV"/>
          <w14:textOutline w14:w="12700" w14:cap="flat" w14:cmpd="sng" w14:algn="ctr">
            <w14:noFill/>
            <w14:prstDash w14:val="solid"/>
            <w14:miter w14:lim="400000"/>
          </w14:textOutline>
        </w:rPr>
        <w:t xml:space="preserve">rabies cell culture inoculation test) </w:t>
      </w:r>
      <w:r w:rsidRPr="0021328C">
        <w:rPr>
          <w:sz w:val="18"/>
          <w:szCs w:val="18"/>
          <w:u w:color="000000"/>
          <w:lang w:val="lv-LV"/>
          <w14:textOutline w14:w="12700" w14:cap="flat" w14:cmpd="sng" w14:algn="ctr">
            <w14:noFill/>
            <w14:prstDash w14:val="solid"/>
            <w14:miter w14:lim="400000"/>
          </w14:textOutline>
        </w:rPr>
        <w:t>- trakumsērgas šūnu kultūras inokulācijas tests</w:t>
      </w:r>
    </w:p>
    <w:p w14:paraId="0CF31272" w14:textId="77777777" w:rsidR="00137DF8" w:rsidRPr="0021328C" w:rsidRDefault="0024621C">
      <w:pPr>
        <w:pStyle w:val="Default"/>
        <w:spacing w:after="160" w:line="288" w:lineRule="auto"/>
        <w:outlineLvl w:val="0"/>
        <w:rPr>
          <w:rFonts w:hint="eastAsia"/>
          <w:color w:val="4D4D4D"/>
          <w:sz w:val="18"/>
          <w:szCs w:val="18"/>
          <w:u w:color="4D4D4D"/>
          <w:lang w:val="lv-LV"/>
          <w14:textOutline w14:w="12700" w14:cap="flat" w14:cmpd="sng" w14:algn="ctr">
            <w14:noFill/>
            <w14:prstDash w14:val="solid"/>
            <w14:miter w14:lim="400000"/>
          </w14:textOutline>
        </w:rPr>
      </w:pPr>
      <w:r w:rsidRPr="0021328C">
        <w:rPr>
          <w:sz w:val="18"/>
          <w:szCs w:val="18"/>
          <w:u w:color="000000"/>
          <w:lang w:val="lv-LV"/>
          <w14:textOutline w14:w="12700" w14:cap="flat" w14:cmpd="sng" w14:algn="ctr">
            <w14:noFill/>
            <w14:prstDash w14:val="solid"/>
            <w14:miter w14:lim="400000"/>
          </w14:textOutline>
        </w:rPr>
        <w:t xml:space="preserve">RT-PCR </w:t>
      </w:r>
      <w:r w:rsidRPr="0021328C">
        <w:rPr>
          <w:i/>
          <w:iCs/>
          <w:sz w:val="18"/>
          <w:szCs w:val="18"/>
          <w:u w:color="000000"/>
          <w:lang w:val="lv-LV"/>
          <w14:textOutline w14:w="12700" w14:cap="flat" w14:cmpd="sng" w14:algn="ctr">
            <w14:noFill/>
            <w14:prstDash w14:val="solid"/>
            <w14:miter w14:lim="400000"/>
          </w14:textOutline>
        </w:rPr>
        <w:t xml:space="preserve">(reverse transcriptase-polymerase chain reaction) </w:t>
      </w:r>
      <w:r w:rsidRPr="0021328C">
        <w:rPr>
          <w:sz w:val="18"/>
          <w:szCs w:val="18"/>
          <w:u w:color="000000"/>
          <w:lang w:val="lv-LV"/>
          <w14:textOutline w14:w="12700" w14:cap="flat" w14:cmpd="sng" w14:algn="ctr">
            <w14:noFill/>
            <w14:prstDash w14:val="solid"/>
            <w14:miter w14:lim="400000"/>
          </w14:textOutline>
        </w:rPr>
        <w:t>- reversās transkriptāzes polimerāzes ķēdes reakcija</w:t>
      </w:r>
    </w:p>
    <w:p w14:paraId="6417561C" w14:textId="77777777" w:rsidR="00137DF8" w:rsidRDefault="0024621C">
      <w:pPr>
        <w:pStyle w:val="Attribution"/>
        <w:spacing w:after="160" w:line="288" w:lineRule="auto"/>
        <w:rPr>
          <w:rFonts w:ascii="Graphik" w:eastAsia="Graphik" w:hAnsi="Graphik" w:cs="Graphik"/>
          <w:i/>
          <w:iCs/>
          <w:sz w:val="18"/>
          <w:szCs w:val="18"/>
          <w:u w:color="000000"/>
        </w:rPr>
      </w:pPr>
      <w:r>
        <w:rPr>
          <w:rFonts w:ascii="Graphik" w:hAnsi="Graphik"/>
          <w:sz w:val="18"/>
          <w:szCs w:val="18"/>
        </w:rPr>
        <w:t>VNAb - vīrusu neitralizējošās antivielas</w:t>
      </w:r>
    </w:p>
    <w:p w14:paraId="31AEF4D9"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6BF8361B"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46EC90AA"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705A8023"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2B656835"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103530BF"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6C2A4BF3"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6DC46108"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11D2B3CA" w14:textId="77777777"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p>
    <w:p w14:paraId="772EEA10" w14:textId="3BEBA344" w:rsidR="0021328C" w:rsidRPr="009019B2" w:rsidRDefault="0021328C" w:rsidP="0021328C">
      <w:pPr>
        <w:pStyle w:val="Default"/>
        <w:spacing w:after="160" w:line="288" w:lineRule="auto"/>
        <w:jc w:val="center"/>
        <w:outlineLvl w:val="0"/>
        <w:rPr>
          <w:rStyle w:val="None"/>
          <w:rFonts w:hint="eastAsia"/>
          <w:b/>
          <w:bCs/>
          <w:color w:val="auto"/>
          <w:sz w:val="28"/>
          <w:szCs w:val="28"/>
          <w:u w:color="000000"/>
          <w:lang w:val="lv-LV"/>
          <w14:textOutline w14:w="12700" w14:cap="flat" w14:cmpd="sng" w14:algn="ctr">
            <w14:noFill/>
            <w14:prstDash w14:val="solid"/>
            <w14:miter w14:lim="400000"/>
          </w14:textOutline>
        </w:rPr>
      </w:pPr>
      <w:r w:rsidRPr="009019B2">
        <w:rPr>
          <w:rStyle w:val="None"/>
          <w:b/>
          <w:bCs/>
          <w:color w:val="auto"/>
          <w:sz w:val="28"/>
          <w:szCs w:val="28"/>
          <w:u w:color="000000"/>
          <w:lang w:val="lv-LV"/>
          <w14:textOutline w14:w="12700" w14:cap="flat" w14:cmpd="sng" w14:algn="ctr">
            <w14:noFill/>
            <w14:prstDash w14:val="solid"/>
            <w14:miter w14:lim="400000"/>
          </w14:textOutline>
        </w:rPr>
        <w:lastRenderedPageBreak/>
        <w:t>KOPSAVILKUMS</w:t>
      </w:r>
    </w:p>
    <w:p w14:paraId="1B65CE89" w14:textId="5B4813DD" w:rsidR="0021328C" w:rsidRPr="009019B2" w:rsidRDefault="0021328C" w:rsidP="0021328C">
      <w:pPr>
        <w:pStyle w:val="Default"/>
        <w:spacing w:after="160" w:line="288" w:lineRule="auto"/>
        <w:jc w:val="center"/>
        <w:outlineLvl w:val="0"/>
        <w:rPr>
          <w:rStyle w:val="None"/>
          <w:rFonts w:hint="eastAsia"/>
          <w:b/>
          <w:bCs/>
          <w:color w:val="B8000B"/>
          <w:sz w:val="28"/>
          <w:szCs w:val="28"/>
          <w:u w:color="000000"/>
          <w:lang w:val="lv-LV"/>
          <w14:textOutline w14:w="12700" w14:cap="flat" w14:cmpd="sng" w14:algn="ctr">
            <w14:noFill/>
            <w14:prstDash w14:val="solid"/>
            <w14:miter w14:lim="400000"/>
          </w14:textOutline>
        </w:rPr>
      </w:pPr>
      <w:r w:rsidRPr="009019B2">
        <w:rPr>
          <w:rStyle w:val="None"/>
          <w:b/>
          <w:bCs/>
          <w:color w:val="B8000B"/>
          <w:sz w:val="28"/>
          <w:szCs w:val="28"/>
          <w:u w:color="000000"/>
          <w:lang w:val="lv-LV"/>
          <w14:textOutline w14:w="12700" w14:cap="flat" w14:cmpd="sng" w14:algn="ctr">
            <w14:noFill/>
            <w14:prstDash w14:val="solid"/>
            <w14:miter w14:lim="400000"/>
          </w14:textOutline>
        </w:rPr>
        <w:t>Latvija ir no trakumsērgas brīva valsts!</w:t>
      </w:r>
    </w:p>
    <w:p w14:paraId="2BB1288D" w14:textId="77777777" w:rsidR="0021328C" w:rsidRPr="0021328C" w:rsidRDefault="0021328C" w:rsidP="0021328C">
      <w:pPr>
        <w:pStyle w:val="Default"/>
        <w:spacing w:after="160" w:line="288" w:lineRule="auto"/>
        <w:jc w:val="center"/>
        <w:outlineLvl w:val="0"/>
        <w:rPr>
          <w:rStyle w:val="None"/>
          <w:rFonts w:hint="eastAsia"/>
          <w:sz w:val="18"/>
          <w:szCs w:val="18"/>
          <w:u w:color="000000"/>
          <w:lang w:val="es-ES"/>
          <w14:textOutline w14:w="12700" w14:cap="flat" w14:cmpd="sng" w14:algn="ctr">
            <w14:noFill/>
            <w14:prstDash w14:val="solid"/>
            <w14:miter w14:lim="400000"/>
          </w14:textOutline>
        </w:rPr>
      </w:pPr>
      <w:r w:rsidRPr="0021328C">
        <w:rPr>
          <w:rStyle w:val="None"/>
          <w:b/>
          <w:bCs/>
          <w:sz w:val="18"/>
          <w:szCs w:val="18"/>
          <w:u w:color="000000"/>
          <w:lang w:val="es-ES"/>
          <w14:textOutline w14:w="12700" w14:cap="flat" w14:cmpd="sng" w14:algn="ctr">
            <w14:noFill/>
            <w14:prstDash w14:val="solid"/>
            <w14:miter w14:lim="400000"/>
          </w14:textOutline>
        </w:rPr>
        <w:t>PEP netiek rekomendēta personām</w:t>
      </w:r>
      <w:r w:rsidRPr="0021328C">
        <w:rPr>
          <w:rStyle w:val="None"/>
          <w:sz w:val="18"/>
          <w:szCs w:val="18"/>
          <w:u w:color="000000"/>
          <w:lang w:val="es-ES"/>
          <w14:textOutline w14:w="12700" w14:cap="flat" w14:cmpd="sng" w14:algn="ctr">
            <w14:noFill/>
            <w14:prstDash w14:val="solid"/>
            <w14:miter w14:lim="400000"/>
          </w14:textOutline>
        </w:rPr>
        <w:t>, kurām iekodis, saskrāpējis vai nolaizījis jebkāds dzīvnieks no trakumsēgas brīvā valstī vai teritorijā, un tāda ir Latvija!</w:t>
      </w:r>
    </w:p>
    <w:p w14:paraId="466D6757" w14:textId="77777777" w:rsidR="0021328C" w:rsidRPr="0021328C" w:rsidRDefault="0021328C" w:rsidP="0021328C">
      <w:pPr>
        <w:pStyle w:val="Default"/>
        <w:spacing w:after="160" w:line="288" w:lineRule="auto"/>
        <w:jc w:val="center"/>
        <w:outlineLvl w:val="0"/>
        <w:rPr>
          <w:rStyle w:val="None"/>
          <w:rFonts w:hint="eastAsia"/>
          <w:sz w:val="18"/>
          <w:szCs w:val="18"/>
          <w:u w:color="000000"/>
          <w:lang w:val="es-ES"/>
          <w14:textOutline w14:w="12700" w14:cap="flat" w14:cmpd="sng" w14:algn="ctr">
            <w14:noFill/>
            <w14:prstDash w14:val="solid"/>
            <w14:miter w14:lim="400000"/>
          </w14:textOutline>
        </w:rPr>
      </w:pPr>
      <w:r w:rsidRPr="0021328C">
        <w:rPr>
          <w:rStyle w:val="None"/>
          <w:sz w:val="18"/>
          <w:szCs w:val="18"/>
          <w:u w:color="000000"/>
          <w:lang w:val="es-ES"/>
          <w14:textOutline w14:w="12700" w14:cap="flat" w14:cmpd="sng" w14:algn="ctr">
            <w14:noFill/>
            <w14:prstDash w14:val="solid"/>
            <w14:miter w14:lim="400000"/>
          </w14:textOutline>
        </w:rPr>
        <w:t xml:space="preserve">Katrā individuālā gadījumā, jo īpaši ja incidents ar potenciāli ar trakumsērgu inficētu dzīvnieku ir noticis ārpus Latvijas, trakumsērgas izplatītā valstī,  nepieciešams risku izvērtējums, ko veic pieredzējis speciālists ar zināšanām par lokālajiem epidemioloģijas datiem.  </w:t>
      </w:r>
    </w:p>
    <w:p w14:paraId="6E223E55" w14:textId="77777777" w:rsidR="0021328C" w:rsidRPr="0021328C" w:rsidRDefault="0021328C" w:rsidP="0021328C">
      <w:pPr>
        <w:pStyle w:val="Default"/>
        <w:spacing w:after="160" w:line="288" w:lineRule="auto"/>
        <w:jc w:val="center"/>
        <w:outlineLvl w:val="0"/>
        <w:rPr>
          <w:rStyle w:val="None"/>
          <w:rFonts w:hint="eastAsia"/>
          <w:b/>
          <w:bCs/>
          <w:sz w:val="24"/>
          <w:szCs w:val="24"/>
          <w:u w:val="single" w:color="000000"/>
          <w:lang w:val="es-ES"/>
          <w14:textOutline w14:w="12700" w14:cap="flat" w14:cmpd="sng" w14:algn="ctr">
            <w14:noFill/>
            <w14:prstDash w14:val="solid"/>
            <w14:miter w14:lim="400000"/>
          </w14:textOutline>
        </w:rPr>
      </w:pP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87936" behindDoc="0" locked="0" layoutInCell="1" allowOverlap="1" wp14:anchorId="5A652346" wp14:editId="75071875">
            <wp:simplePos x="0" y="0"/>
            <wp:positionH relativeFrom="margin">
              <wp:align>center</wp:align>
            </wp:positionH>
            <wp:positionV relativeFrom="line">
              <wp:posOffset>1978964</wp:posOffset>
            </wp:positionV>
            <wp:extent cx="4613910" cy="1400810"/>
            <wp:effectExtent l="0" t="0" r="0" b="8890"/>
            <wp:wrapThrough wrapText="bothSides" distL="152400" distR="152400">
              <wp:wrapPolygon edited="1">
                <wp:start x="0" y="0"/>
                <wp:lineTo x="21600" y="0"/>
                <wp:lineTo x="21600" y="21608"/>
                <wp:lineTo x="0" y="21608"/>
                <wp:lineTo x="0" y="0"/>
              </wp:wrapPolygon>
            </wp:wrapThrough>
            <wp:docPr id="1239182420" name="officeArt object" descr="Image"/>
            <wp:cNvGraphicFramePr/>
            <a:graphic xmlns:a="http://schemas.openxmlformats.org/drawingml/2006/main">
              <a:graphicData uri="http://schemas.openxmlformats.org/drawingml/2006/picture">
                <pic:pic xmlns:pic="http://schemas.openxmlformats.org/drawingml/2006/picture">
                  <pic:nvPicPr>
                    <pic:cNvPr id="1073741845" name="Image" descr="Image"/>
                    <pic:cNvPicPr>
                      <a:picLocks noChangeAspect="1"/>
                    </pic:cNvPicPr>
                  </pic:nvPicPr>
                  <pic:blipFill>
                    <a:blip r:embed="rId9"/>
                    <a:stretch>
                      <a:fillRect/>
                    </a:stretch>
                  </pic:blipFill>
                  <pic:spPr>
                    <a:xfrm>
                      <a:off x="0" y="0"/>
                      <a:ext cx="4613910" cy="1400810"/>
                    </a:xfrm>
                    <a:prstGeom prst="rect">
                      <a:avLst/>
                    </a:prstGeom>
                    <a:ln w="12700" cap="flat">
                      <a:noFill/>
                      <a:miter lim="400000"/>
                    </a:ln>
                    <a:effectLst/>
                  </pic:spPr>
                </pic:pic>
              </a:graphicData>
            </a:graphic>
          </wp:anchor>
        </w:drawing>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86912" behindDoc="0" locked="0" layoutInCell="1" allowOverlap="1" wp14:anchorId="2C422D27" wp14:editId="01CAF355">
            <wp:simplePos x="0" y="0"/>
            <wp:positionH relativeFrom="margin">
              <wp:align>center</wp:align>
            </wp:positionH>
            <wp:positionV relativeFrom="line">
              <wp:posOffset>340360</wp:posOffset>
            </wp:positionV>
            <wp:extent cx="5640705" cy="1637665"/>
            <wp:effectExtent l="0" t="0" r="0" b="635"/>
            <wp:wrapThrough wrapText="bothSides" distL="152400" distR="152400">
              <wp:wrapPolygon edited="1">
                <wp:start x="0" y="0"/>
                <wp:lineTo x="21600" y="0"/>
                <wp:lineTo x="21600" y="21652"/>
                <wp:lineTo x="0" y="21652"/>
                <wp:lineTo x="0" y="0"/>
              </wp:wrapPolygon>
            </wp:wrapThrough>
            <wp:docPr id="360460072" name="officeArt object" descr="Image"/>
            <wp:cNvGraphicFramePr/>
            <a:graphic xmlns:a="http://schemas.openxmlformats.org/drawingml/2006/main">
              <a:graphicData uri="http://schemas.openxmlformats.org/drawingml/2006/picture">
                <pic:pic xmlns:pic="http://schemas.openxmlformats.org/drawingml/2006/picture">
                  <pic:nvPicPr>
                    <pic:cNvPr id="1073741844" name="Image" descr="Image"/>
                    <pic:cNvPicPr>
                      <a:picLocks noChangeAspect="1"/>
                    </pic:cNvPicPr>
                  </pic:nvPicPr>
                  <pic:blipFill>
                    <a:blip r:embed="rId10"/>
                    <a:stretch>
                      <a:fillRect/>
                    </a:stretch>
                  </pic:blipFill>
                  <pic:spPr>
                    <a:xfrm>
                      <a:off x="0" y="0"/>
                      <a:ext cx="5640705" cy="1637665"/>
                    </a:xfrm>
                    <a:prstGeom prst="rect">
                      <a:avLst/>
                    </a:prstGeom>
                    <a:ln w="12700" cap="flat">
                      <a:noFill/>
                      <a:miter lim="400000"/>
                    </a:ln>
                    <a:effectLst/>
                  </pic:spPr>
                </pic:pic>
              </a:graphicData>
            </a:graphic>
          </wp:anchor>
        </w:drawing>
      </w:r>
      <w:r w:rsidRPr="0021328C">
        <w:rPr>
          <w:rStyle w:val="None"/>
          <w:b/>
          <w:bCs/>
          <w:sz w:val="24"/>
          <w:szCs w:val="24"/>
          <w:u w:val="single" w:color="000000"/>
          <w:lang w:val="es-ES"/>
          <w14:textOutline w14:w="12700" w14:cap="flat" w14:cmpd="sng" w14:algn="ctr">
            <w14:noFill/>
            <w14:prstDash w14:val="solid"/>
            <w14:miter w14:lim="400000"/>
          </w14:textOutline>
        </w:rPr>
        <w:t>1. Izvērtē, vai valsts un dzīvnieks, ar ko bijis kontakts, varētu būt iespējami inficēts</w:t>
      </w:r>
    </w:p>
    <w:p w14:paraId="32BE38E4" w14:textId="77777777" w:rsidR="0021328C" w:rsidRPr="0021328C" w:rsidRDefault="0021328C" w:rsidP="0021328C">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46995FF7" w14:textId="77777777" w:rsidR="0021328C" w:rsidRPr="0021328C" w:rsidRDefault="0021328C" w:rsidP="0021328C">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0503581B" w14:textId="77777777" w:rsidR="0021328C" w:rsidRPr="0021328C" w:rsidRDefault="0021328C" w:rsidP="0021328C">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6C57C153" w14:textId="77777777" w:rsidR="0021328C" w:rsidRPr="0021328C" w:rsidRDefault="0021328C" w:rsidP="0021328C">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7DA06BDC" w14:textId="77777777" w:rsidR="0021328C" w:rsidRPr="0021328C" w:rsidRDefault="0021328C" w:rsidP="0021328C">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0E56C78B" w14:textId="77777777" w:rsidR="0021328C" w:rsidRPr="0021328C" w:rsidRDefault="0021328C" w:rsidP="0021328C">
      <w:pPr>
        <w:pStyle w:val="Default"/>
        <w:spacing w:after="160" w:line="288" w:lineRule="auto"/>
        <w:outlineLvl w:val="0"/>
        <w:rPr>
          <w:rStyle w:val="None"/>
          <w:rFonts w:hint="eastAsia"/>
          <w:b/>
          <w:bCs/>
          <w:sz w:val="24"/>
          <w:szCs w:val="24"/>
          <w:u w:color="000000"/>
          <w:lang w:val="es-ES"/>
          <w14:textOutline w14:w="12700" w14:cap="flat" w14:cmpd="sng" w14:algn="ctr">
            <w14:noFill/>
            <w14:prstDash w14:val="solid"/>
            <w14:miter w14:lim="400000"/>
          </w14:textOutline>
        </w:rPr>
      </w:pPr>
    </w:p>
    <w:p w14:paraId="3231D346" w14:textId="77777777" w:rsidR="0021328C" w:rsidRPr="009019B2" w:rsidRDefault="0021328C" w:rsidP="0021328C">
      <w:pPr>
        <w:pStyle w:val="Default"/>
        <w:spacing w:after="160" w:line="288" w:lineRule="auto"/>
        <w:jc w:val="center"/>
        <w:outlineLvl w:val="0"/>
        <w:rPr>
          <w:rStyle w:val="None"/>
          <w:rFonts w:hint="eastAsia"/>
          <w:b/>
          <w:bCs/>
          <w:sz w:val="24"/>
          <w:szCs w:val="24"/>
          <w:u w:val="single" w:color="000000"/>
          <w:lang w:val="es-ES"/>
          <w14:textOutline w14:w="12700" w14:cap="flat" w14:cmpd="sng" w14:algn="ctr">
            <w14:noFill/>
            <w14:prstDash w14:val="solid"/>
            <w14:miter w14:lim="400000"/>
          </w14:textOutline>
        </w:rPr>
      </w:pP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88960" behindDoc="0" locked="0" layoutInCell="1" allowOverlap="1" wp14:anchorId="61E5C643" wp14:editId="46F3F5FF">
            <wp:simplePos x="0" y="0"/>
            <wp:positionH relativeFrom="margin">
              <wp:align>right</wp:align>
            </wp:positionH>
            <wp:positionV relativeFrom="line">
              <wp:posOffset>345660</wp:posOffset>
            </wp:positionV>
            <wp:extent cx="6184900" cy="1305295"/>
            <wp:effectExtent l="0" t="0" r="6350" b="9525"/>
            <wp:wrapThrough wrapText="bothSides" distL="152400" distR="152400">
              <wp:wrapPolygon edited="1">
                <wp:start x="0" y="0"/>
                <wp:lineTo x="21600" y="0"/>
                <wp:lineTo x="21600" y="21600"/>
                <wp:lineTo x="0" y="21600"/>
                <wp:lineTo x="0" y="0"/>
              </wp:wrapPolygon>
            </wp:wrapThrough>
            <wp:docPr id="357566761" name="officeArt object" descr="Image"/>
            <wp:cNvGraphicFramePr/>
            <a:graphic xmlns:a="http://schemas.openxmlformats.org/drawingml/2006/main">
              <a:graphicData uri="http://schemas.openxmlformats.org/drawingml/2006/picture">
                <pic:pic xmlns:pic="http://schemas.openxmlformats.org/drawingml/2006/picture">
                  <pic:nvPicPr>
                    <pic:cNvPr id="1073741846" name="Image" descr="Image"/>
                    <pic:cNvPicPr>
                      <a:picLocks noChangeAspect="1"/>
                    </pic:cNvPicPr>
                  </pic:nvPicPr>
                  <pic:blipFill>
                    <a:blip r:embed="rId11"/>
                    <a:stretch>
                      <a:fillRect/>
                    </a:stretch>
                  </pic:blipFill>
                  <pic:spPr>
                    <a:xfrm>
                      <a:off x="0" y="0"/>
                      <a:ext cx="6184900" cy="1305295"/>
                    </a:xfrm>
                    <a:prstGeom prst="rect">
                      <a:avLst/>
                    </a:prstGeom>
                    <a:ln w="12700" cap="flat">
                      <a:noFill/>
                      <a:miter lim="400000"/>
                    </a:ln>
                    <a:effectLst/>
                  </pic:spPr>
                </pic:pic>
              </a:graphicData>
            </a:graphic>
          </wp:anchor>
        </w:drawing>
      </w:r>
      <w:r w:rsidRPr="009019B2">
        <w:rPr>
          <w:rStyle w:val="None"/>
          <w:b/>
          <w:bCs/>
          <w:sz w:val="24"/>
          <w:szCs w:val="24"/>
          <w:u w:val="single" w:color="000000"/>
          <w:lang w:val="es-ES"/>
          <w14:textOutline w14:w="12700" w14:cap="flat" w14:cmpd="sng" w14:algn="ctr">
            <w14:noFill/>
            <w14:prstDash w14:val="solid"/>
            <w14:miter w14:lim="400000"/>
          </w14:textOutline>
        </w:rPr>
        <w:t>2. Izvērtē, vai PEP jāuzsāk nekavējoši vai var nogaidīt</w:t>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89984" behindDoc="0" locked="0" layoutInCell="1" allowOverlap="1" wp14:anchorId="18311992" wp14:editId="2EAEB907">
            <wp:simplePos x="0" y="0"/>
            <wp:positionH relativeFrom="margin">
              <wp:posOffset>-6350</wp:posOffset>
            </wp:positionH>
            <wp:positionV relativeFrom="line">
              <wp:posOffset>1685224</wp:posOffset>
            </wp:positionV>
            <wp:extent cx="6184900" cy="710345"/>
            <wp:effectExtent l="0" t="0" r="0" b="0"/>
            <wp:wrapThrough wrapText="bothSides" distL="152400" distR="152400">
              <wp:wrapPolygon edited="1">
                <wp:start x="0" y="0"/>
                <wp:lineTo x="21600" y="0"/>
                <wp:lineTo x="21600" y="21600"/>
                <wp:lineTo x="0" y="21600"/>
                <wp:lineTo x="0" y="0"/>
              </wp:wrapPolygon>
            </wp:wrapThrough>
            <wp:docPr id="1239052473"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12"/>
                    <a:stretch>
                      <a:fillRect/>
                    </a:stretch>
                  </pic:blipFill>
                  <pic:spPr>
                    <a:xfrm>
                      <a:off x="0" y="0"/>
                      <a:ext cx="6184900" cy="710345"/>
                    </a:xfrm>
                    <a:prstGeom prst="rect">
                      <a:avLst/>
                    </a:prstGeom>
                    <a:ln w="12700" cap="flat">
                      <a:noFill/>
                      <a:miter lim="400000"/>
                    </a:ln>
                    <a:effectLst/>
                  </pic:spPr>
                </pic:pic>
              </a:graphicData>
            </a:graphic>
          </wp:anchor>
        </w:drawing>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91008" behindDoc="0" locked="0" layoutInCell="1" allowOverlap="1" wp14:anchorId="7FFD03DA" wp14:editId="2889B8E2">
            <wp:simplePos x="0" y="0"/>
            <wp:positionH relativeFrom="margin">
              <wp:posOffset>613779</wp:posOffset>
            </wp:positionH>
            <wp:positionV relativeFrom="line">
              <wp:posOffset>2579525</wp:posOffset>
            </wp:positionV>
            <wp:extent cx="4944641" cy="558108"/>
            <wp:effectExtent l="0" t="0" r="0" b="0"/>
            <wp:wrapThrough wrapText="bothSides" distL="152400" distR="152400">
              <wp:wrapPolygon edited="1">
                <wp:start x="0" y="0"/>
                <wp:lineTo x="21600" y="0"/>
                <wp:lineTo x="21600" y="21600"/>
                <wp:lineTo x="0" y="21600"/>
                <wp:lineTo x="0" y="0"/>
              </wp:wrapPolygon>
            </wp:wrapThrough>
            <wp:docPr id="1894693378" name="officeArt object" descr="Image"/>
            <wp:cNvGraphicFramePr/>
            <a:graphic xmlns:a="http://schemas.openxmlformats.org/drawingml/2006/main">
              <a:graphicData uri="http://schemas.openxmlformats.org/drawingml/2006/picture">
                <pic:pic xmlns:pic="http://schemas.openxmlformats.org/drawingml/2006/picture">
                  <pic:nvPicPr>
                    <pic:cNvPr id="1073741848" name="Image" descr="Image"/>
                    <pic:cNvPicPr>
                      <a:picLocks noChangeAspect="1"/>
                    </pic:cNvPicPr>
                  </pic:nvPicPr>
                  <pic:blipFill>
                    <a:blip r:embed="rId13"/>
                    <a:stretch>
                      <a:fillRect/>
                    </a:stretch>
                  </pic:blipFill>
                  <pic:spPr>
                    <a:xfrm>
                      <a:off x="0" y="0"/>
                      <a:ext cx="4944641" cy="558108"/>
                    </a:xfrm>
                    <a:prstGeom prst="rect">
                      <a:avLst/>
                    </a:prstGeom>
                    <a:ln w="12700" cap="flat">
                      <a:noFill/>
                      <a:miter lim="400000"/>
                    </a:ln>
                    <a:effectLst/>
                  </pic:spPr>
                </pic:pic>
              </a:graphicData>
            </a:graphic>
          </wp:anchor>
        </w:drawing>
      </w:r>
    </w:p>
    <w:p w14:paraId="3C82EB9D" w14:textId="77777777" w:rsidR="0021328C" w:rsidRPr="009019B2" w:rsidRDefault="0021328C" w:rsidP="0021328C">
      <w:pPr>
        <w:pStyle w:val="Default"/>
        <w:spacing w:after="160" w:line="288" w:lineRule="auto"/>
        <w:outlineLvl w:val="0"/>
        <w:rPr>
          <w:rStyle w:val="None"/>
          <w:rFonts w:hint="eastAsia"/>
          <w:b/>
          <w:bCs/>
          <w:sz w:val="24"/>
          <w:szCs w:val="24"/>
          <w:u w:color="000000"/>
          <w:lang w:val="es-ES"/>
          <w14:textOutline w14:w="12700" w14:cap="flat" w14:cmpd="sng" w14:algn="ctr">
            <w14:noFill/>
            <w14:prstDash w14:val="solid"/>
            <w14:miter w14:lim="400000"/>
          </w14:textOutline>
        </w:rPr>
      </w:pPr>
    </w:p>
    <w:p w14:paraId="201927AB" w14:textId="04ED57D7" w:rsidR="000A1CF1" w:rsidRPr="009019B2" w:rsidRDefault="0021328C" w:rsidP="00410DA1">
      <w:pPr>
        <w:pStyle w:val="Default"/>
        <w:spacing w:after="160" w:line="288" w:lineRule="auto"/>
        <w:jc w:val="center"/>
        <w:outlineLvl w:val="0"/>
        <w:rPr>
          <w:rFonts w:hint="eastAsia"/>
          <w:b/>
          <w:bCs/>
          <w:sz w:val="24"/>
          <w:szCs w:val="24"/>
          <w:u w:color="000000"/>
          <w:lang w:val="es-ES"/>
          <w14:textOutline w14:w="12700" w14:cap="flat" w14:cmpd="sng" w14:algn="ctr">
            <w14:noFill/>
            <w14:prstDash w14:val="solid"/>
            <w14:miter w14:lim="400000"/>
          </w14:textOutline>
        </w:rPr>
      </w:pPr>
      <w:r w:rsidRPr="009019B2">
        <w:rPr>
          <w:rStyle w:val="None"/>
          <w:b/>
          <w:bCs/>
          <w:sz w:val="24"/>
          <w:szCs w:val="24"/>
          <w:u w:color="000000"/>
          <w:lang w:val="es-ES"/>
          <w14:textOutline w14:w="12700" w14:cap="flat" w14:cmpd="sng" w14:algn="ctr">
            <w14:noFill/>
            <w14:prstDash w14:val="solid"/>
            <w14:miter w14:lim="400000"/>
          </w14:textOutline>
        </w:rPr>
        <w:lastRenderedPageBreak/>
        <w:t xml:space="preserve">Izvērtē ekspozīcijas kategoriju un rīkojies atbilstoši personas imunizācijas statusam </w:t>
      </w:r>
      <w:r>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94080" behindDoc="0" locked="0" layoutInCell="1" allowOverlap="1" wp14:anchorId="25CEC167" wp14:editId="07DE5793">
            <wp:simplePos x="0" y="0"/>
            <wp:positionH relativeFrom="margin">
              <wp:align>center</wp:align>
            </wp:positionH>
            <wp:positionV relativeFrom="line">
              <wp:posOffset>7934960</wp:posOffset>
            </wp:positionV>
            <wp:extent cx="6543675" cy="476885"/>
            <wp:effectExtent l="0" t="0" r="9525" b="0"/>
            <wp:wrapThrough wrapText="bothSides" distL="152400" distR="152400">
              <wp:wrapPolygon edited="1">
                <wp:start x="0" y="0"/>
                <wp:lineTo x="21600" y="0"/>
                <wp:lineTo x="21600" y="21684"/>
                <wp:lineTo x="0" y="21684"/>
                <wp:lineTo x="0" y="0"/>
              </wp:wrapPolygon>
            </wp:wrapThrough>
            <wp:docPr id="1185027014" name="officeArt object" descr="Image"/>
            <wp:cNvGraphicFramePr/>
            <a:graphic xmlns:a="http://schemas.openxmlformats.org/drawingml/2006/main">
              <a:graphicData uri="http://schemas.openxmlformats.org/drawingml/2006/picture">
                <pic:pic xmlns:pic="http://schemas.openxmlformats.org/drawingml/2006/picture">
                  <pic:nvPicPr>
                    <pic:cNvPr id="1073741850" name="Image" descr="Image"/>
                    <pic:cNvPicPr>
                      <a:picLocks noChangeAspect="1"/>
                    </pic:cNvPicPr>
                  </pic:nvPicPr>
                  <pic:blipFill>
                    <a:blip r:embed="rId14"/>
                    <a:stretch>
                      <a:fillRect/>
                    </a:stretch>
                  </pic:blipFill>
                  <pic:spPr>
                    <a:xfrm>
                      <a:off x="0" y="0"/>
                      <a:ext cx="6543675" cy="4768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93056" behindDoc="0" locked="0" layoutInCell="1" allowOverlap="1" wp14:anchorId="77D25CFE" wp14:editId="1EFE3011">
            <wp:simplePos x="0" y="0"/>
            <wp:positionH relativeFrom="margin">
              <wp:posOffset>-121285</wp:posOffset>
            </wp:positionH>
            <wp:positionV relativeFrom="line">
              <wp:posOffset>4516120</wp:posOffset>
            </wp:positionV>
            <wp:extent cx="6368415" cy="3307715"/>
            <wp:effectExtent l="0" t="0" r="0" b="6985"/>
            <wp:wrapThrough wrapText="bothSides" distL="152400" distR="152400">
              <wp:wrapPolygon edited="1">
                <wp:start x="0" y="0"/>
                <wp:lineTo x="21600" y="0"/>
                <wp:lineTo x="21600" y="21604"/>
                <wp:lineTo x="0" y="21604"/>
                <wp:lineTo x="0" y="0"/>
              </wp:wrapPolygon>
            </wp:wrapThrough>
            <wp:docPr id="1856647609" name="officeArt object" descr="Image"/>
            <wp:cNvGraphicFramePr/>
            <a:graphic xmlns:a="http://schemas.openxmlformats.org/drawingml/2006/main">
              <a:graphicData uri="http://schemas.openxmlformats.org/drawingml/2006/picture">
                <pic:pic xmlns:pic="http://schemas.openxmlformats.org/drawingml/2006/picture">
                  <pic:nvPicPr>
                    <pic:cNvPr id="1073741849" name="Image" descr="Image"/>
                    <pic:cNvPicPr>
                      <a:picLocks noChangeAspect="1"/>
                    </pic:cNvPicPr>
                  </pic:nvPicPr>
                  <pic:blipFill>
                    <a:blip r:embed="rId15"/>
                    <a:stretch>
                      <a:fillRect/>
                    </a:stretch>
                  </pic:blipFill>
                  <pic:spPr>
                    <a:xfrm>
                      <a:off x="0" y="0"/>
                      <a:ext cx="6368415" cy="33077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9019B2">
        <w:rPr>
          <w:rStyle w:val="None"/>
          <w:b/>
          <w:bCs/>
          <w:sz w:val="24"/>
          <w:szCs w:val="24"/>
          <w:u w:color="000000"/>
          <w:lang w:val="es-ES"/>
          <w14:textOutline w14:w="12700" w14:cap="flat" w14:cmpd="sng" w14:algn="ctr">
            <w14:noFill/>
            <w14:prstDash w14:val="solid"/>
            <w14:miter w14:lim="400000"/>
          </w14:textOutline>
        </w:rPr>
        <w:t xml:space="preserve">un </w:t>
      </w:r>
      <w:r>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95104" behindDoc="0" locked="0" layoutInCell="1" allowOverlap="1" wp14:anchorId="1761633A" wp14:editId="3D02D5DF">
            <wp:simplePos x="0" y="0"/>
            <wp:positionH relativeFrom="margin">
              <wp:align>center</wp:align>
            </wp:positionH>
            <wp:positionV relativeFrom="line">
              <wp:posOffset>490220</wp:posOffset>
            </wp:positionV>
            <wp:extent cx="6511290" cy="4142105"/>
            <wp:effectExtent l="0" t="0" r="3810" b="0"/>
            <wp:wrapThrough wrapText="bothSides" distL="152400" distR="152400">
              <wp:wrapPolygon edited="1">
                <wp:start x="0" y="0"/>
                <wp:lineTo x="21600" y="0"/>
                <wp:lineTo x="21600" y="21618"/>
                <wp:lineTo x="0" y="21618"/>
                <wp:lineTo x="0" y="0"/>
              </wp:wrapPolygon>
            </wp:wrapThrough>
            <wp:docPr id="2026988630" name="officeArt object" descr="Image"/>
            <wp:cNvGraphicFramePr/>
            <a:graphic xmlns:a="http://schemas.openxmlformats.org/drawingml/2006/main">
              <a:graphicData uri="http://schemas.openxmlformats.org/drawingml/2006/picture">
                <pic:pic xmlns:pic="http://schemas.openxmlformats.org/drawingml/2006/picture">
                  <pic:nvPicPr>
                    <pic:cNvPr id="1073741851" name="Image" descr="Image"/>
                    <pic:cNvPicPr>
                      <a:picLocks noChangeAspect="1"/>
                    </pic:cNvPicPr>
                  </pic:nvPicPr>
                  <pic:blipFill>
                    <a:blip r:embed="rId16"/>
                    <a:stretch>
                      <a:fillRect/>
                    </a:stretch>
                  </pic:blipFill>
                  <pic:spPr>
                    <a:xfrm>
                      <a:off x="0" y="0"/>
                      <a:ext cx="6511290" cy="41421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9019B2">
        <w:rPr>
          <w:rStyle w:val="None"/>
          <w:b/>
          <w:bCs/>
          <w:sz w:val="24"/>
          <w:szCs w:val="24"/>
          <w:u w:color="000000"/>
          <w:lang w:val="es-ES"/>
          <w14:textOutline w14:w="12700" w14:cap="flat" w14:cmpd="sng" w14:algn="ctr">
            <w14:noFill/>
            <w14:prstDash w14:val="solid"/>
            <w14:miter w14:lim="400000"/>
          </w14:textOutline>
        </w:rPr>
        <w:t>imūnās sistēmas stāvoklim</w:t>
      </w:r>
    </w:p>
    <w:p w14:paraId="001393CE" w14:textId="77777777" w:rsidR="00137DF8" w:rsidRDefault="0024621C">
      <w:pPr>
        <w:pStyle w:val="Attribution"/>
        <w:spacing w:after="160" w:line="288" w:lineRule="auto"/>
        <w:jc w:val="both"/>
        <w:rPr>
          <w:rFonts w:ascii="Graphik" w:eastAsia="Graphik" w:hAnsi="Graphik" w:cs="Graphik"/>
          <w:b/>
          <w:bCs/>
          <w:sz w:val="18"/>
          <w:szCs w:val="18"/>
        </w:rPr>
      </w:pPr>
      <w:r>
        <w:rPr>
          <w:rFonts w:ascii="Graphik" w:hAnsi="Graphik"/>
          <w:b/>
          <w:bCs/>
          <w:sz w:val="18"/>
          <w:szCs w:val="18"/>
        </w:rPr>
        <w:lastRenderedPageBreak/>
        <w:t xml:space="preserve">1. Trakumsērgas gadījumu standarta definīcijas </w:t>
      </w:r>
    </w:p>
    <w:p w14:paraId="0A1A00A9" w14:textId="77777777" w:rsidR="00137DF8" w:rsidRDefault="0024621C">
      <w:pPr>
        <w:pStyle w:val="Attribution"/>
        <w:spacing w:after="160" w:line="288" w:lineRule="auto"/>
        <w:jc w:val="both"/>
        <w:rPr>
          <w:sz w:val="18"/>
          <w:szCs w:val="18"/>
          <w:u w:color="000000"/>
        </w:rPr>
      </w:pPr>
      <w:r>
        <w:rPr>
          <w:sz w:val="18"/>
          <w:szCs w:val="18"/>
          <w:u w:color="000000"/>
          <w:lang w:val="de-DE"/>
        </w:rPr>
        <w:t>Kl</w:t>
      </w:r>
      <w:r>
        <w:rPr>
          <w:sz w:val="18"/>
          <w:szCs w:val="18"/>
          <w:u w:color="000000"/>
        </w:rPr>
        <w:t>īniskie kritēriji</w:t>
      </w:r>
    </w:p>
    <w:p w14:paraId="2297F710" w14:textId="77777777" w:rsidR="00137DF8" w:rsidRPr="00E052D2" w:rsidRDefault="0024621C" w:rsidP="000A1CF1">
      <w:pPr>
        <w:pStyle w:val="Default"/>
        <w:spacing w:after="160" w:line="288" w:lineRule="auto"/>
        <w:outlineLvl w:val="0"/>
        <w:rPr>
          <w:rFonts w:hint="eastAsia"/>
          <w:sz w:val="18"/>
          <w:szCs w:val="18"/>
          <w:u w:color="000000"/>
          <w:lang w:val="lv-LV"/>
          <w14:textOutline w14:w="12700" w14:cap="flat" w14:cmpd="sng" w14:algn="ctr">
            <w14:noFill/>
            <w14:prstDash w14:val="solid"/>
            <w14:miter w14:lim="400000"/>
          </w14:textOutline>
        </w:rPr>
      </w:pPr>
      <w:r w:rsidRPr="00E052D2">
        <w:rPr>
          <w:sz w:val="18"/>
          <w:szCs w:val="18"/>
          <w:u w:color="000000"/>
          <w:lang w:val="lv-LV"/>
          <w14:textOutline w14:w="12700" w14:cap="flat" w14:cmpd="sng" w14:algn="ctr">
            <w14:noFill/>
            <w14:prstDash w14:val="solid"/>
            <w14:miter w14:lim="400000"/>
          </w14:textOutline>
        </w:rPr>
        <w:t>Jebkura persona, kam ir akūts encefalomielīts</w:t>
      </w:r>
      <w:r w:rsidRPr="00E052D2">
        <w:rPr>
          <w:sz w:val="18"/>
          <w:szCs w:val="18"/>
          <w:u w:color="000000"/>
          <w:lang w:val="lv-LV"/>
          <w14:textOutline w14:w="12700" w14:cap="flat" w14:cmpd="sng" w14:algn="ctr">
            <w14:noFill/>
            <w14:prstDash w14:val="solid"/>
            <w14:miter w14:lim="400000"/>
          </w14:textOutline>
        </w:rPr>
        <w:br/>
        <w:t>UN</w:t>
      </w:r>
      <w:r w:rsidRPr="00E052D2">
        <w:rPr>
          <w:sz w:val="18"/>
          <w:szCs w:val="18"/>
          <w:u w:color="000000"/>
          <w:lang w:val="lv-LV"/>
          <w14:textOutline w14:w="12700" w14:cap="flat" w14:cmpd="sng" w14:algn="ctr">
            <w14:noFill/>
            <w14:prstDash w14:val="solid"/>
            <w14:miter w14:lim="400000"/>
          </w14:textOutline>
        </w:rPr>
        <w:br/>
        <w:t>vismaz divi no sekojošiem septiņiem simptomiem:</w:t>
      </w:r>
      <w:r w:rsidRPr="00E052D2">
        <w:rPr>
          <w:sz w:val="18"/>
          <w:szCs w:val="18"/>
          <w:u w:color="000000"/>
          <w:lang w:val="lv-LV"/>
          <w14:textOutline w14:w="12700" w14:cap="flat" w14:cmpd="sng" w14:algn="ctr">
            <w14:noFill/>
            <w14:prstDash w14:val="solid"/>
            <w14:miter w14:lim="400000"/>
          </w14:textOutline>
        </w:rPr>
        <w:br/>
        <w:t>- jūtīguma izmaiņas vietā, kur iepriekš iekodis dzīvnieks,</w:t>
      </w:r>
      <w:r w:rsidRPr="00E052D2">
        <w:rPr>
          <w:sz w:val="18"/>
          <w:szCs w:val="18"/>
          <w:u w:color="000000"/>
          <w:lang w:val="lv-LV"/>
          <w14:textOutline w14:w="12700" w14:cap="flat" w14:cmpd="sng" w14:algn="ctr">
            <w14:noFill/>
            <w14:prstDash w14:val="solid"/>
            <w14:miter w14:lim="400000"/>
          </w14:textOutline>
        </w:rPr>
        <w:br/>
        <w:t xml:space="preserve">- parēze vai paralīze, </w:t>
      </w:r>
      <w:r w:rsidRPr="00E052D2">
        <w:rPr>
          <w:sz w:val="18"/>
          <w:szCs w:val="18"/>
          <w:u w:color="000000"/>
          <w:lang w:val="lv-LV"/>
          <w14:textOutline w14:w="12700" w14:cap="flat" w14:cmpd="sng" w14:algn="ctr">
            <w14:noFill/>
            <w14:prstDash w14:val="solid"/>
            <w14:miter w14:lim="400000"/>
          </w14:textOutline>
        </w:rPr>
        <w:br/>
        <w:t xml:space="preserve">- rīšanas muskuļu spazmas, </w:t>
      </w:r>
      <w:r w:rsidRPr="00E052D2">
        <w:rPr>
          <w:sz w:val="18"/>
          <w:szCs w:val="18"/>
          <w:u w:color="000000"/>
          <w:lang w:val="lv-LV"/>
          <w14:textOutline w14:w="12700" w14:cap="flat" w14:cmpd="sng" w14:algn="ctr">
            <w14:noFill/>
            <w14:prstDash w14:val="solid"/>
            <w14:miter w14:lim="400000"/>
          </w14:textOutline>
        </w:rPr>
        <w:br/>
        <w:t>- hidrofobija,</w:t>
      </w:r>
      <w:r w:rsidRPr="00E052D2">
        <w:rPr>
          <w:sz w:val="18"/>
          <w:szCs w:val="18"/>
          <w:u w:color="000000"/>
          <w:lang w:val="lv-LV"/>
          <w14:textOutline w14:w="12700" w14:cap="flat" w14:cmpd="sng" w14:algn="ctr">
            <w14:noFill/>
            <w14:prstDash w14:val="solid"/>
            <w14:miter w14:lim="400000"/>
          </w14:textOutline>
        </w:rPr>
        <w:br/>
        <w:t>- delīrijs,</w:t>
      </w:r>
      <w:r w:rsidRPr="00E052D2">
        <w:rPr>
          <w:sz w:val="18"/>
          <w:szCs w:val="18"/>
          <w:u w:color="000000"/>
          <w:lang w:val="lv-LV"/>
          <w14:textOutline w14:w="12700" w14:cap="flat" w14:cmpd="sng" w14:algn="ctr">
            <w14:noFill/>
            <w14:prstDash w14:val="solid"/>
            <w14:miter w14:lim="400000"/>
          </w14:textOutline>
        </w:rPr>
        <w:br/>
        <w:t>- krampji,</w:t>
      </w:r>
      <w:r w:rsidRPr="00E052D2">
        <w:rPr>
          <w:sz w:val="18"/>
          <w:szCs w:val="18"/>
          <w:u w:color="000000"/>
          <w:lang w:val="lv-LV"/>
          <w14:textOutline w14:w="12700" w14:cap="flat" w14:cmpd="sng" w14:algn="ctr">
            <w14:noFill/>
            <w14:prstDash w14:val="solid"/>
            <w14:miter w14:lim="400000"/>
          </w14:textOutline>
        </w:rPr>
        <w:br/>
        <w:t>- trauksme.</w:t>
      </w:r>
    </w:p>
    <w:p w14:paraId="3AEDF3A1" w14:textId="77777777" w:rsidR="00137DF8" w:rsidRPr="00E052D2" w:rsidRDefault="0024621C">
      <w:pPr>
        <w:pStyle w:val="Default"/>
        <w:spacing w:after="160" w:line="288" w:lineRule="auto"/>
        <w:jc w:val="both"/>
        <w:outlineLvl w:val="0"/>
        <w:rPr>
          <w:rFonts w:ascii="Graphik Semibold" w:eastAsia="Graphik Semibold" w:hAnsi="Graphik Semibold" w:cs="Graphik Semibold"/>
          <w:sz w:val="18"/>
          <w:szCs w:val="18"/>
          <w:u w:color="000000"/>
          <w:lang w:val="lv-LV"/>
          <w14:textOutline w14:w="12700" w14:cap="flat" w14:cmpd="sng" w14:algn="ctr">
            <w14:noFill/>
            <w14:prstDash w14:val="solid"/>
            <w14:miter w14:lim="400000"/>
          </w14:textOutline>
        </w:rPr>
      </w:pPr>
      <w:r w:rsidRPr="00E052D2">
        <w:rPr>
          <w:rFonts w:ascii="Graphik Semibold" w:hAnsi="Graphik Semibold"/>
          <w:sz w:val="18"/>
          <w:szCs w:val="18"/>
          <w:u w:color="000000"/>
          <w:lang w:val="lv-LV"/>
          <w14:textOutline w14:w="12700" w14:cap="flat" w14:cmpd="sng" w14:algn="ctr">
            <w14:noFill/>
            <w14:prstDash w14:val="solid"/>
            <w14:miter w14:lim="400000"/>
          </w14:textOutline>
        </w:rPr>
        <w:t xml:space="preserve">Laboratoriskie kritēriji </w:t>
      </w:r>
    </w:p>
    <w:p w14:paraId="55A82E72" w14:textId="77777777" w:rsidR="00137DF8" w:rsidRPr="0021328C" w:rsidRDefault="0024621C" w:rsidP="000A1CF1">
      <w:pPr>
        <w:pStyle w:val="Default"/>
        <w:spacing w:after="160" w:line="288" w:lineRule="auto"/>
        <w:outlineLvl w:val="0"/>
        <w:rPr>
          <w:rFonts w:hint="eastAsia"/>
          <w:sz w:val="18"/>
          <w:szCs w:val="18"/>
          <w:u w:color="000000"/>
          <w:lang w:val="lv-LV"/>
          <w14:textOutline w14:w="12700" w14:cap="flat" w14:cmpd="sng" w14:algn="ctr">
            <w14:noFill/>
            <w14:prstDash w14:val="solid"/>
            <w14:miter w14:lim="400000"/>
          </w14:textOutline>
        </w:rPr>
      </w:pPr>
      <w:r w:rsidRPr="00E052D2">
        <w:rPr>
          <w:sz w:val="18"/>
          <w:szCs w:val="18"/>
          <w:u w:color="000000"/>
          <w:lang w:val="lv-LV"/>
          <w14:textOutline w14:w="12700" w14:cap="flat" w14:cmpd="sng" w14:algn="ctr">
            <w14:noFill/>
            <w14:prstDash w14:val="solid"/>
            <w14:miter w14:lim="400000"/>
          </w14:textOutline>
        </w:rPr>
        <w:t>Vismaz viens no sekojošiem četriem testiem ir pozitīvs:</w:t>
      </w:r>
      <w:r w:rsidRPr="00E052D2">
        <w:rPr>
          <w:sz w:val="18"/>
          <w:szCs w:val="18"/>
          <w:u w:color="000000"/>
          <w:lang w:val="lv-LV"/>
          <w14:textOutline w14:w="12700" w14:cap="flat" w14:cmpd="sng" w14:algn="ctr">
            <w14:noFill/>
            <w14:prstDash w14:val="solid"/>
            <w14:miter w14:lim="400000"/>
          </w14:textOutline>
        </w:rPr>
        <w:br/>
        <w:t xml:space="preserve">- </w:t>
      </w:r>
      <w:r w:rsidRPr="00E052D2">
        <w:rPr>
          <w:i/>
          <w:iCs/>
          <w:sz w:val="18"/>
          <w:szCs w:val="18"/>
          <w:u w:color="000000"/>
          <w:lang w:val="lv-LV"/>
          <w14:textOutline w14:w="12700" w14:cap="flat" w14:cmpd="sng" w14:algn="ctr">
            <w14:noFill/>
            <w14:prstDash w14:val="solid"/>
            <w14:miter w14:lim="400000"/>
          </w14:textOutline>
        </w:rPr>
        <w:t>Lyssa</w:t>
      </w:r>
      <w:r w:rsidRPr="00E052D2">
        <w:rPr>
          <w:sz w:val="18"/>
          <w:szCs w:val="18"/>
          <w:u w:color="000000"/>
          <w:lang w:val="lv-LV"/>
          <w14:textOutline w14:w="12700" w14:cap="flat" w14:cmpd="sng" w14:algn="ctr">
            <w14:noFill/>
            <w14:prstDash w14:val="solid"/>
            <w14:miter w14:lim="400000"/>
          </w14:textOutline>
        </w:rPr>
        <w:t xml:space="preserve"> vīrusa izolēšana no klīniskā parauga,</w:t>
      </w:r>
      <w:r w:rsidRPr="00E052D2">
        <w:rPr>
          <w:sz w:val="18"/>
          <w:szCs w:val="18"/>
          <w:u w:color="000000"/>
          <w:lang w:val="lv-LV"/>
          <w14:textOutline w14:w="12700" w14:cap="flat" w14:cmpd="sng" w14:algn="ctr">
            <w14:noFill/>
            <w14:prstDash w14:val="solid"/>
            <w14:miter w14:lim="400000"/>
          </w14:textOutline>
        </w:rPr>
        <w:br/>
        <w:t xml:space="preserve">- </w:t>
      </w:r>
      <w:r w:rsidRPr="00E052D2">
        <w:rPr>
          <w:i/>
          <w:iCs/>
          <w:sz w:val="18"/>
          <w:szCs w:val="18"/>
          <w:u w:color="000000"/>
          <w:lang w:val="lv-LV"/>
          <w14:textOutline w14:w="12700" w14:cap="flat" w14:cmpd="sng" w14:algn="ctr">
            <w14:noFill/>
            <w14:prstDash w14:val="solid"/>
            <w14:miter w14:lim="400000"/>
          </w14:textOutline>
        </w:rPr>
        <w:t>Lyssa</w:t>
      </w:r>
      <w:r w:rsidRPr="00E052D2">
        <w:rPr>
          <w:sz w:val="18"/>
          <w:szCs w:val="18"/>
          <w:u w:color="000000"/>
          <w:lang w:val="lv-LV"/>
          <w14:textOutline w14:w="12700" w14:cap="flat" w14:cmpd="sng" w14:algn="ctr">
            <w14:noFill/>
            <w14:prstDash w14:val="solid"/>
            <w14:miter w14:lim="400000"/>
          </w14:textOutline>
        </w:rPr>
        <w:t xml:space="preserve"> vīrusa nukleīnskābes noteikšana klīniskā paraugā (siekalās, smadzeņu audos),</w:t>
      </w:r>
      <w:r w:rsidRPr="00E052D2">
        <w:rPr>
          <w:sz w:val="18"/>
          <w:szCs w:val="18"/>
          <w:u w:color="000000"/>
          <w:lang w:val="lv-LV"/>
          <w14:textOutline w14:w="12700" w14:cap="flat" w14:cmpd="sng" w14:algn="ctr">
            <w14:noFill/>
            <w14:prstDash w14:val="solid"/>
            <w14:miter w14:lim="400000"/>
          </w14:textOutline>
        </w:rPr>
        <w:br/>
        <w:t>- vīrusa antigēnu noteikšana ar DFA metodi klīniskā paraugā,</w:t>
      </w:r>
      <w:r w:rsidRPr="00E052D2">
        <w:rPr>
          <w:sz w:val="18"/>
          <w:szCs w:val="18"/>
          <w:u w:color="000000"/>
          <w:lang w:val="lv-LV"/>
          <w14:textOutline w14:w="12700" w14:cap="flat" w14:cmpd="sng" w14:algn="ctr">
            <w14:noFill/>
            <w14:prstDash w14:val="solid"/>
            <w14:miter w14:lim="400000"/>
          </w14:textOutline>
        </w:rPr>
        <w:br/>
        <w:t xml:space="preserve">- </w:t>
      </w:r>
      <w:r w:rsidRPr="00E052D2">
        <w:rPr>
          <w:i/>
          <w:iCs/>
          <w:sz w:val="18"/>
          <w:szCs w:val="18"/>
          <w:u w:color="000000"/>
          <w:lang w:val="lv-LV"/>
          <w14:textOutline w14:w="12700" w14:cap="flat" w14:cmpd="sng" w14:algn="ctr">
            <w14:noFill/>
            <w14:prstDash w14:val="solid"/>
            <w14:miter w14:lim="400000"/>
          </w14:textOutline>
        </w:rPr>
        <w:t>Lyssa</w:t>
      </w:r>
      <w:r w:rsidRPr="00E052D2">
        <w:rPr>
          <w:sz w:val="18"/>
          <w:szCs w:val="18"/>
          <w:u w:color="000000"/>
          <w:lang w:val="lv-LV"/>
          <w14:textOutline w14:w="12700" w14:cap="flat" w14:cmpd="sng" w14:algn="ctr">
            <w14:noFill/>
            <w14:prstDash w14:val="solid"/>
            <w14:miter w14:lim="400000"/>
          </w14:textOutline>
        </w:rPr>
        <w:t xml:space="preserve"> vīrusa specifisko antivielu veidošanās, veicot vīrusa neitralizācijas testu serumā vai CSŠ.</w:t>
      </w:r>
      <w:r w:rsidRPr="00E052D2">
        <w:rPr>
          <w:sz w:val="18"/>
          <w:szCs w:val="18"/>
          <w:u w:color="000000"/>
          <w:lang w:val="lv-LV"/>
          <w14:textOutline w14:w="12700" w14:cap="flat" w14:cmpd="sng" w14:algn="ctr">
            <w14:noFill/>
            <w14:prstDash w14:val="solid"/>
            <w14:miter w14:lim="400000"/>
          </w14:textOutline>
        </w:rPr>
        <w:br/>
      </w:r>
      <w:r w:rsidRPr="0021328C">
        <w:rPr>
          <w:sz w:val="18"/>
          <w:szCs w:val="18"/>
          <w:u w:color="000000"/>
          <w:lang w:val="lv-LV"/>
          <w14:textOutline w14:w="12700" w14:cap="flat" w14:cmpd="sng" w14:algn="ctr">
            <w14:noFill/>
            <w14:prstDash w14:val="solid"/>
            <w14:miter w14:lim="400000"/>
          </w14:textOutline>
        </w:rPr>
        <w:t>NB! Laboratorisko testu rezultāti jāinterpretē saskaņā ar vakcinācijas vai imunizācijas statusu.</w:t>
      </w:r>
    </w:p>
    <w:p w14:paraId="300AA5C7" w14:textId="77777777" w:rsidR="00137DF8" w:rsidRPr="0021328C" w:rsidRDefault="0024621C" w:rsidP="000A1CF1">
      <w:pPr>
        <w:pStyle w:val="Default"/>
        <w:spacing w:after="160" w:line="288" w:lineRule="auto"/>
        <w:outlineLvl w:val="0"/>
        <w:rPr>
          <w:rFonts w:ascii="Graphik Semibold" w:eastAsia="Graphik Semibold" w:hAnsi="Graphik Semibold" w:cs="Graphik Semibold"/>
          <w:sz w:val="18"/>
          <w:szCs w:val="18"/>
          <w:u w:color="000000"/>
          <w:lang w:val="lv-LV"/>
          <w14:textOutline w14:w="12700" w14:cap="flat" w14:cmpd="sng" w14:algn="ctr">
            <w14:noFill/>
            <w14:prstDash w14:val="solid"/>
            <w14:miter w14:lim="400000"/>
          </w14:textOutline>
        </w:rPr>
      </w:pPr>
      <w:r w:rsidRPr="0021328C">
        <w:rPr>
          <w:rFonts w:ascii="Graphik Semibold" w:hAnsi="Graphik Semibold"/>
          <w:sz w:val="18"/>
          <w:szCs w:val="18"/>
          <w:u w:color="000000"/>
          <w:lang w:val="lv-LV"/>
          <w14:textOutline w14:w="12700" w14:cap="flat" w14:cmpd="sng" w14:algn="ctr">
            <w14:noFill/>
            <w14:prstDash w14:val="solid"/>
            <w14:miter w14:lim="400000"/>
          </w14:textOutline>
        </w:rPr>
        <w:t xml:space="preserve">Epidemioloģiskie kritēriji </w:t>
      </w:r>
    </w:p>
    <w:p w14:paraId="23869F62" w14:textId="77777777" w:rsidR="00137DF8" w:rsidRPr="0021328C" w:rsidRDefault="0024621C" w:rsidP="000A1CF1">
      <w:pPr>
        <w:pStyle w:val="Default"/>
        <w:spacing w:after="160" w:line="288" w:lineRule="auto"/>
        <w:outlineLvl w:val="0"/>
        <w:rPr>
          <w:rFonts w:hint="eastAsia"/>
          <w:sz w:val="18"/>
          <w:szCs w:val="18"/>
          <w:u w:color="000000"/>
          <w:lang w:val="lv-LV"/>
          <w14:textOutline w14:w="12700" w14:cap="flat" w14:cmpd="sng" w14:algn="ctr">
            <w14:noFill/>
            <w14:prstDash w14:val="solid"/>
            <w14:miter w14:lim="400000"/>
          </w14:textOutline>
        </w:rPr>
      </w:pPr>
      <w:r w:rsidRPr="0021328C">
        <w:rPr>
          <w:sz w:val="18"/>
          <w:szCs w:val="18"/>
          <w:u w:color="000000"/>
          <w:lang w:val="lv-LV"/>
          <w14:textOutline w14:w="12700" w14:cap="flat" w14:cmpd="sng" w14:algn="ctr">
            <w14:noFill/>
            <w14:prstDash w14:val="solid"/>
            <w14:miter w14:lim="400000"/>
          </w14:textOutline>
        </w:rPr>
        <w:t>Vismaz viena no sekojošām trim epidemioloģiskajām saiknēm:</w:t>
      </w:r>
      <w:r w:rsidRPr="0021328C">
        <w:rPr>
          <w:sz w:val="18"/>
          <w:szCs w:val="18"/>
          <w:u w:color="000000"/>
          <w:lang w:val="lv-LV"/>
          <w14:textOutline w14:w="12700" w14:cap="flat" w14:cmpd="sng" w14:algn="ctr">
            <w14:noFill/>
            <w14:prstDash w14:val="solid"/>
            <w14:miter w14:lim="400000"/>
          </w14:textOutline>
        </w:rPr>
        <w:br/>
        <w:t>- pārnese no dzīvnieka uz cilvēku (dzīvnieks ar aizdomām par infekciju vai apstiprinātu infekciju),</w:t>
      </w:r>
      <w:r w:rsidRPr="0021328C">
        <w:rPr>
          <w:sz w:val="18"/>
          <w:szCs w:val="18"/>
          <w:u w:color="000000"/>
          <w:lang w:val="lv-LV"/>
          <w14:textOutline w14:w="12700" w14:cap="flat" w14:cmpd="sng" w14:algn="ctr">
            <w14:noFill/>
            <w14:prstDash w14:val="solid"/>
            <w14:miter w14:lim="400000"/>
          </w14:textOutline>
        </w:rPr>
        <w:br/>
        <w:t>- eksponētība kopīgam avotam (tas pats dzīvnieks),</w:t>
      </w:r>
      <w:r w:rsidRPr="0021328C">
        <w:rPr>
          <w:sz w:val="18"/>
          <w:szCs w:val="18"/>
          <w:u w:color="000000"/>
          <w:lang w:val="lv-LV"/>
          <w14:textOutline w14:w="12700" w14:cap="flat" w14:cmpd="sng" w14:algn="ctr">
            <w14:noFill/>
            <w14:prstDash w14:val="solid"/>
            <w14:miter w14:lim="400000"/>
          </w14:textOutline>
        </w:rPr>
        <w:br/>
        <w:t>- pārnese no cilvēka uz cilvēku (orgānu transplantācija).</w:t>
      </w:r>
    </w:p>
    <w:p w14:paraId="7E9D2F24"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Trakumsērgas gadījums tiek definēts kā:</w:t>
      </w:r>
    </w:p>
    <w:p w14:paraId="6F266F49" w14:textId="77777777" w:rsidR="00137DF8" w:rsidRDefault="0024621C" w:rsidP="000A1CF1">
      <w:pPr>
        <w:pStyle w:val="Default"/>
        <w:spacing w:after="160" w:line="288" w:lineRule="auto"/>
        <w:outlineLvl w:val="0"/>
        <w:rPr>
          <w:rFonts w:ascii="Times New Roman" w:eastAsia="Times New Roman" w:hAnsi="Times New Roman" w:cs="Times New Roman"/>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 </w:t>
      </w:r>
      <w:r>
        <w:rPr>
          <w:i/>
          <w:iCs/>
          <w:sz w:val="18"/>
          <w:szCs w:val="18"/>
          <w:u w:color="000000"/>
          <w14:textOutline w14:w="12700" w14:cap="flat" w14:cmpd="sng" w14:algn="ctr">
            <w14:noFill/>
            <w14:prstDash w14:val="solid"/>
            <w14:miter w14:lim="400000"/>
          </w14:textOutline>
        </w:rPr>
        <w:t>Iespējams</w:t>
      </w:r>
      <w:r>
        <w:rPr>
          <w:sz w:val="18"/>
          <w:szCs w:val="18"/>
          <w:u w:color="000000"/>
          <w14:textOutline w14:w="12700" w14:cap="flat" w14:cmpd="sng" w14:algn="ctr">
            <w14:noFill/>
            <w14:prstDash w14:val="solid"/>
            <w14:miter w14:lim="400000"/>
          </w14:textOutline>
        </w:rPr>
        <w:t>: jebkura persona, kas atbilst klīniskajiem kritērijiem,</w:t>
      </w:r>
      <w:r>
        <w:rPr>
          <w:sz w:val="18"/>
          <w:szCs w:val="18"/>
          <w:u w:color="000000"/>
          <w14:textOutline w14:w="12700" w14:cap="flat" w14:cmpd="sng" w14:algn="ctr">
            <w14:noFill/>
            <w14:prstDash w14:val="solid"/>
            <w14:miter w14:lim="400000"/>
          </w14:textOutline>
        </w:rPr>
        <w:br/>
        <w:t xml:space="preserve">- </w:t>
      </w:r>
      <w:r>
        <w:rPr>
          <w:i/>
          <w:iCs/>
          <w:sz w:val="18"/>
          <w:szCs w:val="18"/>
          <w:u w:color="000000"/>
          <w14:textOutline w14:w="12700" w14:cap="flat" w14:cmpd="sng" w14:algn="ctr">
            <w14:noFill/>
            <w14:prstDash w14:val="solid"/>
            <w14:miter w14:lim="400000"/>
          </w14:textOutline>
        </w:rPr>
        <w:t>Varbūtīgs</w:t>
      </w:r>
      <w:r>
        <w:rPr>
          <w:sz w:val="18"/>
          <w:szCs w:val="18"/>
          <w:u w:color="000000"/>
          <w14:textOutline w14:w="12700" w14:cap="flat" w14:cmpd="sng" w14:algn="ctr">
            <w14:noFill/>
            <w14:prstDash w14:val="solid"/>
            <w14:miter w14:lim="400000"/>
          </w14:textOutline>
        </w:rPr>
        <w:t>: jebkura persona, kas atbilst klīniskajiem kritērijiem un kam ir arī epidemioloģiska saikne.</w:t>
      </w:r>
      <w:r>
        <w:rPr>
          <w:sz w:val="18"/>
          <w:szCs w:val="18"/>
          <w:u w:color="000000"/>
          <w14:textOutline w14:w="12700" w14:cap="flat" w14:cmpd="sng" w14:algn="ctr">
            <w14:noFill/>
            <w14:prstDash w14:val="solid"/>
            <w14:miter w14:lim="400000"/>
          </w14:textOutline>
        </w:rPr>
        <w:br/>
        <w:t xml:space="preserve">- </w:t>
      </w:r>
      <w:r>
        <w:rPr>
          <w:i/>
          <w:iCs/>
          <w:sz w:val="18"/>
          <w:szCs w:val="18"/>
          <w:u w:color="000000"/>
          <w14:textOutline w14:w="12700" w14:cap="flat" w14:cmpd="sng" w14:algn="ctr">
            <w14:noFill/>
            <w14:prstDash w14:val="solid"/>
            <w14:miter w14:lim="400000"/>
          </w14:textOutline>
        </w:rPr>
        <w:t>Apstiprināts</w:t>
      </w:r>
      <w:r>
        <w:rPr>
          <w:sz w:val="18"/>
          <w:szCs w:val="18"/>
          <w:u w:color="000000"/>
          <w14:textOutline w14:w="12700" w14:cap="flat" w14:cmpd="sng" w14:algn="ctr">
            <w14:noFill/>
            <w14:prstDash w14:val="solid"/>
            <w14:miter w14:lim="400000"/>
          </w14:textOutline>
        </w:rPr>
        <w:t>: jebkura persona, kas atbilst klīniskajiem un laboratoriskajiem kritērijiem.</w:t>
      </w:r>
    </w:p>
    <w:p w14:paraId="3088436C" w14:textId="77777777" w:rsidR="00137DF8" w:rsidRDefault="0024621C">
      <w:pPr>
        <w:spacing w:after="160" w:line="288" w:lineRule="auto"/>
        <w:jc w:val="center"/>
        <w:rPr>
          <w:rFonts w:ascii="Graphik" w:eastAsia="Graphik" w:hAnsi="Graphik" w:cs="Graphik"/>
          <w:b/>
          <w:bCs/>
          <w:color w:val="1C3780"/>
          <w:sz w:val="18"/>
          <w:szCs w:val="18"/>
          <w:u w:color="008CB4"/>
          <w14:textOutline w14:w="12700" w14:cap="flat" w14:cmpd="sng" w14:algn="ctr">
            <w14:noFill/>
            <w14:prstDash w14:val="solid"/>
            <w14:miter w14:lim="400000"/>
          </w14:textOutline>
        </w:rPr>
      </w:pPr>
      <w:r>
        <w:rPr>
          <w:rFonts w:ascii="Graphik" w:hAnsi="Graphik" w:cs="Arial Unicode MS"/>
          <w:b/>
          <w:bCs/>
          <w:color w:val="1C3780"/>
          <w:sz w:val="18"/>
          <w:szCs w:val="18"/>
          <w:u w:color="008CB4"/>
          <w14:textOutline w14:w="12700" w14:cap="flat" w14:cmpd="sng" w14:algn="ctr">
            <w14:noFill/>
            <w14:prstDash w14:val="solid"/>
            <w14:miter w14:lim="400000"/>
          </w14:textOutline>
        </w:rPr>
        <w:t xml:space="preserve">2015.gadā Pasaules Dzīvnieku veselības organizācija piešķīrusi </w:t>
      </w:r>
      <w:r>
        <w:rPr>
          <w:rFonts w:ascii="Graphik" w:hAnsi="Graphik" w:cs="Arial Unicode MS"/>
          <w:b/>
          <w:bCs/>
          <w:color w:val="1C3780"/>
          <w:sz w:val="18"/>
          <w:szCs w:val="18"/>
          <w:u w:val="single" w:color="008CB4"/>
          <w14:textOutline w14:w="12700" w14:cap="flat" w14:cmpd="sng" w14:algn="ctr">
            <w14:noFill/>
            <w14:prstDash w14:val="solid"/>
            <w14:miter w14:lim="400000"/>
          </w14:textOutline>
        </w:rPr>
        <w:t>Latvijai no trakumsērgas brīvas valsts statusu</w:t>
      </w:r>
      <w:r>
        <w:rPr>
          <w:rFonts w:ascii="Graphik" w:hAnsi="Graphik" w:cs="Arial Unicode MS"/>
          <w:b/>
          <w:bCs/>
          <w:color w:val="1C3780"/>
          <w:sz w:val="18"/>
          <w:szCs w:val="18"/>
          <w:u w:color="008CB4"/>
          <w14:textOutline w14:w="12700" w14:cap="flat" w14:cmpd="sng" w14:algn="ctr">
            <w14:noFill/>
            <w14:prstDash w14:val="solid"/>
            <w14:miter w14:lim="400000"/>
          </w14:textOutline>
        </w:rPr>
        <w:t>, un šo statusu patreiz Latvija saglabā, ja valstī tiek īstenoti trakumsērgas profilakses un apkarošanas pasākumi; Latvijā savvaļas dzīvnieku orālās vakcinācijas buferzona tiek uzturēta 40 kilometri platā teritorijā gar valsts austrumu un dienvidaustrumu robežu.</w:t>
      </w:r>
    </w:p>
    <w:p w14:paraId="768F6278" w14:textId="77777777" w:rsidR="00137DF8" w:rsidRDefault="00137DF8">
      <w:pPr>
        <w:spacing w:after="160" w:line="288" w:lineRule="auto"/>
        <w:jc w:val="both"/>
        <w:rPr>
          <w:rFonts w:ascii="Graphik" w:eastAsia="Graphik" w:hAnsi="Graphik" w:cs="Graphik"/>
          <w:b/>
          <w:bCs/>
          <w:color w:val="476AA8"/>
          <w:sz w:val="18"/>
          <w:szCs w:val="18"/>
          <w:u w:color="000000"/>
          <w14:textOutline w14:w="12700" w14:cap="flat" w14:cmpd="sng" w14:algn="ctr">
            <w14:noFill/>
            <w14:prstDash w14:val="solid"/>
            <w14:miter w14:lim="400000"/>
          </w14:textOutline>
        </w:rPr>
      </w:pPr>
    </w:p>
    <w:p w14:paraId="75C1866F" w14:textId="77777777" w:rsidR="00137DF8" w:rsidRDefault="0024621C">
      <w:pPr>
        <w:pStyle w:val="Default"/>
        <w:spacing w:after="160" w:line="288" w:lineRule="auto"/>
        <w:jc w:val="both"/>
        <w:outlineLvl w:val="0"/>
        <w:rPr>
          <w:rFonts w:hint="eastAsia"/>
          <w:b/>
          <w:bCs/>
          <w:sz w:val="18"/>
          <w:szCs w:val="18"/>
          <w:u w:color="4D4D4D"/>
          <w14:textOutline w14:w="12700" w14:cap="flat" w14:cmpd="sng" w14:algn="ctr">
            <w14:noFill/>
            <w14:prstDash w14:val="solid"/>
            <w14:miter w14:lim="400000"/>
          </w14:textOutline>
        </w:rPr>
      </w:pPr>
      <w:r>
        <w:rPr>
          <w:b/>
          <w:bCs/>
          <w:sz w:val="18"/>
          <w:szCs w:val="18"/>
          <w:u w:color="4D4D4D"/>
          <w14:textOutline w14:w="12700" w14:cap="flat" w14:cmpd="sng" w14:algn="ctr">
            <w14:noFill/>
            <w14:prstDash w14:val="solid"/>
            <w14:miter w14:lim="400000"/>
          </w14:textOutline>
        </w:rPr>
        <w:t>2. Patoģenēze</w:t>
      </w:r>
    </w:p>
    <w:p w14:paraId="1C4F3F72"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Pēc ekspozīcijas trakumsērgas vīruss iekļūst organismā caur brūcēm vai caur slima dzīvnieka siekalu tieša kontakta ar cilvēka gļotādām. Trakumsērgas vīruss pēc ekspozīcijas ir spējīgs vairoties muskuļos un citos audos, kā rezultātā tas sasniedz nervu motoros nervgaļus un pa to aksoniem nokļūst centrālajā nervu sistēmā - virioni tiek iekļauti transporta vezikulās un nokļūst tajā ar ātro retrogrādo transporta sistēmu. Vīrusa transports uz centrālo nervu sistēmu pa sensorajiem un simpātiskās sistēmas nervu aksoniem nenotiek, izņemot atsevišķus sikspārņu vīrusa variantus, kas spēj vairoties arī sensorajos nervos.</w:t>
      </w:r>
    </w:p>
    <w:p w14:paraId="2741BA47"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Inkubācijas periods ilgst no 5 dienām līdz pat vairākiem gadiem (vidēji 2 - 3 mēneši, 2 - 3% gadijumu ilgāk par 1 gadu - ir dokumentēts 8 gadu ilgs inkubācijas periods), un tas ir atkarīgs no vīrusa daudzuma jeb koncentrācijas brūces audos, no motoro nervgaļu blīvuma audos un brūces attāluma no centrālās nervu sistēmas. Vīrusa izplatības ātrums ir atkarīgs no izplatības veida: centripetāls retrogrāds aksonāls transports (ātrs) vai centrifugāls (lēns). </w:t>
      </w:r>
    </w:p>
    <w:p w14:paraId="1F9402AC"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Centripetālās fāzes laikā notiek vīrusa transports uz centrālo nervu sistēmu, kā arī dorsālo nervu gangliju inficēšanās. Tad vīruss izplatās centrifugāli uz perifērajiem sensorajiem aksoniem, ventrālajām saknītēm un nerviem, tādā veidā infekcijai izplatoties </w:t>
      </w:r>
      <w:r>
        <w:rPr>
          <w:sz w:val="18"/>
          <w:szCs w:val="18"/>
          <w:u w:color="000000"/>
          <w14:textOutline w14:w="12700" w14:cap="flat" w14:cmpd="sng" w14:algn="ctr">
            <w14:noFill/>
            <w14:prstDash w14:val="solid"/>
            <w14:miter w14:lim="400000"/>
          </w14:textOutline>
        </w:rPr>
        <w:lastRenderedPageBreak/>
        <w:t xml:space="preserve">uz muskuļšķiedrām, ādu, matu folikuliem, siekalu dziedzeriem, sirdi, plaušām, vēdera dobuma orgāniem. Pirmo klīnisko simptomu izpausmes brīdī vīruss ir izplatījies pa visu centrālo nervu sistēmu un citiem orgāniem - attīstās progresējošs un fatāls iekaisums galvas un muguras smadzenēs. </w:t>
      </w:r>
    </w:p>
    <w:p w14:paraId="0C3741E6"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Pagaidām nav atrasta korelācija starp simptomiem un trakumsērgas vīrusa izraisīto bojājumu lokalizāciju centrālajā nervu sistēmā. Sākotnēji simptomus un pazīmes novēro ķermeņa segmentā/reģionā, kur lokalizējas koduma brūce, līdz ar vīrusa disemināciju tipiskie simptomi sāk ģeneralizēties un izpausties visā ķermenī.</w:t>
      </w:r>
    </w:p>
    <w:p w14:paraId="3EE7DDFC"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Nāve iestājas aptuveni 7 - 10 dienu laikā pēc pirmo klīnisko simptomu sākuma.</w:t>
      </w:r>
    </w:p>
    <w:p w14:paraId="603BE6AF" w14:textId="77777777" w:rsidR="00137DF8" w:rsidRPr="000B7B11" w:rsidRDefault="000A1CF1" w:rsidP="000B7B11">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0288" behindDoc="0" locked="0" layoutInCell="1" allowOverlap="1" wp14:anchorId="33E354EE" wp14:editId="333E0A19">
            <wp:simplePos x="0" y="0"/>
            <wp:positionH relativeFrom="margin">
              <wp:align>center</wp:align>
            </wp:positionH>
            <wp:positionV relativeFrom="line">
              <wp:posOffset>311702</wp:posOffset>
            </wp:positionV>
            <wp:extent cx="5453485" cy="2997510"/>
            <wp:effectExtent l="0" t="0" r="0" b="0"/>
            <wp:wrapThrough wrapText="bothSides" distL="152400" distR="152400">
              <wp:wrapPolygon edited="1">
                <wp:start x="0" y="0"/>
                <wp:lineTo x="21621" y="0"/>
                <wp:lineTo x="21621" y="21606"/>
                <wp:lineTo x="0" y="21606"/>
                <wp:lineTo x="0" y="0"/>
              </wp:wrapPolygon>
            </wp:wrapThrough>
            <wp:docPr id="1073741829" name="officeArt object" descr="Image"/>
            <wp:cNvGraphicFramePr/>
            <a:graphic xmlns:a="http://schemas.openxmlformats.org/drawingml/2006/main">
              <a:graphicData uri="http://schemas.openxmlformats.org/drawingml/2006/picture">
                <pic:pic xmlns:pic="http://schemas.openxmlformats.org/drawingml/2006/picture">
                  <pic:nvPicPr>
                    <pic:cNvPr id="1073741829" name="Image" descr="Image"/>
                    <pic:cNvPicPr>
                      <a:picLocks noChangeAspect="1"/>
                    </pic:cNvPicPr>
                  </pic:nvPicPr>
                  <pic:blipFill>
                    <a:blip r:embed="rId17"/>
                    <a:stretch>
                      <a:fillRect/>
                    </a:stretch>
                  </pic:blipFill>
                  <pic:spPr>
                    <a:xfrm>
                      <a:off x="0" y="0"/>
                      <a:ext cx="5453485" cy="2997510"/>
                    </a:xfrm>
                    <a:prstGeom prst="rect">
                      <a:avLst/>
                    </a:prstGeom>
                    <a:ln w="12700" cap="flat">
                      <a:noFill/>
                      <a:miter lim="400000"/>
                    </a:ln>
                    <a:effectLst/>
                  </pic:spPr>
                </pic:pic>
              </a:graphicData>
            </a:graphic>
          </wp:anchor>
        </w:drawing>
      </w:r>
      <w:r>
        <w:rPr>
          <w:b/>
          <w:bCs/>
          <w:sz w:val="18"/>
          <w:szCs w:val="18"/>
          <w:u w:color="000000"/>
          <w14:textOutline w14:w="12700" w14:cap="flat" w14:cmpd="sng" w14:algn="ctr">
            <w14:noFill/>
            <w14:prstDash w14:val="solid"/>
            <w14:miter w14:lim="400000"/>
          </w14:textOutline>
        </w:rPr>
        <w:t>Shēma Nr. 1. Trakumsērgas patoģenēze cilvēkam</w:t>
      </w:r>
    </w:p>
    <w:p w14:paraId="750DB51E" w14:textId="77777777" w:rsidR="000B7B11" w:rsidRDefault="000B7B11">
      <w:pPr>
        <w:spacing w:after="140" w:line="288" w:lineRule="auto"/>
        <w:jc w:val="center"/>
        <w:rPr>
          <w:rFonts w:ascii="Graphik" w:hAnsi="Graphik" w:cs="Arial Unicode MS" w:hint="eastAsia"/>
          <w:b/>
          <w:bCs/>
          <w:color w:val="1C3780"/>
          <w:sz w:val="18"/>
          <w:szCs w:val="18"/>
          <w:u w:color="000000"/>
          <w14:textOutline w14:w="12700" w14:cap="flat" w14:cmpd="sng" w14:algn="ctr">
            <w14:noFill/>
            <w14:prstDash w14:val="solid"/>
            <w14:miter w14:lim="400000"/>
          </w14:textOutline>
        </w:rPr>
      </w:pPr>
    </w:p>
    <w:p w14:paraId="29EA2F2B" w14:textId="77777777" w:rsidR="00137DF8" w:rsidRDefault="0024621C">
      <w:pPr>
        <w:spacing w:after="140" w:line="288" w:lineRule="auto"/>
        <w:jc w:val="center"/>
        <w:rPr>
          <w:rFonts w:ascii="Graphik" w:eastAsia="Graphik" w:hAnsi="Graphik" w:cs="Graphik"/>
          <w:b/>
          <w:bCs/>
          <w:color w:val="1C3780"/>
          <w:sz w:val="18"/>
          <w:szCs w:val="18"/>
          <w:u w:color="008CB4"/>
          <w14:textOutline w14:w="12700" w14:cap="flat" w14:cmpd="sng" w14:algn="ctr">
            <w14:noFill/>
            <w14:prstDash w14:val="solid"/>
            <w14:miter w14:lim="400000"/>
          </w14:textOutline>
        </w:rPr>
      </w:pPr>
      <w:r>
        <w:rPr>
          <w:rFonts w:ascii="Graphik" w:hAnsi="Graphik" w:cs="Arial Unicode MS"/>
          <w:b/>
          <w:bCs/>
          <w:color w:val="1C3780"/>
          <w:sz w:val="18"/>
          <w:szCs w:val="18"/>
          <w:u w:color="000000"/>
          <w14:textOutline w14:w="12700" w14:cap="flat" w14:cmpd="sng" w14:algn="ctr">
            <w14:noFill/>
            <w14:prstDash w14:val="solid"/>
            <w14:miter w14:lim="400000"/>
          </w14:textOutline>
        </w:rPr>
        <w:t>T</w:t>
      </w:r>
      <w:r>
        <w:rPr>
          <w:rFonts w:ascii="Graphik" w:hAnsi="Graphik" w:cs="Arial Unicode MS"/>
          <w:b/>
          <w:bCs/>
          <w:color w:val="1C3780"/>
          <w:sz w:val="18"/>
          <w:szCs w:val="18"/>
          <w:u w:color="008CB4"/>
          <w14:textOutline w14:w="12700" w14:cap="flat" w14:cmpd="sng" w14:algn="ctr">
            <w14:noFill/>
            <w14:prstDash w14:val="solid"/>
            <w14:miter w14:lim="400000"/>
          </w14:textOutline>
        </w:rPr>
        <w:t>rakumsērga ir vīrusu ierosināta slimība, kas visbiežāk rodas pēc inficēta dzīvnieka koduma un kam raksturīgs nervu sistēmas bojājums, un tā vienmēr beidzas ar pacienta nāvi.</w:t>
      </w:r>
    </w:p>
    <w:p w14:paraId="1820546C" w14:textId="77777777" w:rsidR="00137DF8" w:rsidRDefault="0024621C">
      <w:pPr>
        <w:spacing w:after="140" w:line="288" w:lineRule="auto"/>
        <w:jc w:val="center"/>
        <w:rPr>
          <w:rFonts w:ascii="Graphik" w:eastAsia="Graphik" w:hAnsi="Graphik" w:cs="Graphik"/>
          <w:b/>
          <w:bCs/>
          <w:color w:val="1C3780"/>
          <w:sz w:val="18"/>
          <w:szCs w:val="18"/>
          <w:u w:color="FC6861"/>
          <w14:textOutline w14:w="12700" w14:cap="flat" w14:cmpd="sng" w14:algn="ctr">
            <w14:noFill/>
            <w14:prstDash w14:val="solid"/>
            <w14:miter w14:lim="400000"/>
          </w14:textOutline>
        </w:rPr>
      </w:pPr>
      <w:r>
        <w:rPr>
          <w:rFonts w:ascii="Graphik" w:hAnsi="Graphik" w:cs="Arial Unicode MS"/>
          <w:b/>
          <w:bCs/>
          <w:color w:val="1C3780"/>
          <w:sz w:val="18"/>
          <w:szCs w:val="18"/>
          <w:u w:color="FC6861"/>
          <w14:textOutline w14:w="12700" w14:cap="flat" w14:cmpd="sng" w14:algn="ctr">
            <w14:noFill/>
            <w14:prstDash w14:val="solid"/>
            <w14:miter w14:lim="400000"/>
          </w14:textOutline>
        </w:rPr>
        <w:t>Trakumsērgas vīruss nav spējīgs šķērsot intaktu (nebojātu) ādu.</w:t>
      </w:r>
    </w:p>
    <w:p w14:paraId="2B5377DF" w14:textId="77777777" w:rsidR="00137DF8" w:rsidRDefault="00137DF8">
      <w:pPr>
        <w:spacing w:after="140" w:line="288" w:lineRule="auto"/>
        <w:jc w:val="center"/>
        <w:rPr>
          <w:rFonts w:ascii="Graphik" w:eastAsia="Graphik" w:hAnsi="Graphik" w:cs="Graphik"/>
          <w:b/>
          <w:bCs/>
          <w:color w:val="2345A1"/>
          <w:sz w:val="18"/>
          <w:szCs w:val="18"/>
          <w:u w:color="FC6861"/>
          <w14:textOutline w14:w="12700" w14:cap="flat" w14:cmpd="sng" w14:algn="ctr">
            <w14:noFill/>
            <w14:prstDash w14:val="solid"/>
            <w14:miter w14:lim="400000"/>
          </w14:textOutline>
        </w:rPr>
      </w:pPr>
    </w:p>
    <w:p w14:paraId="3C2A682D" w14:textId="77777777" w:rsidR="00137DF8" w:rsidRDefault="0024621C">
      <w:pPr>
        <w:spacing w:after="160" w:line="288" w:lineRule="auto"/>
        <w:jc w:val="both"/>
        <w:rPr>
          <w:rFonts w:ascii="Graphik" w:eastAsia="Graphik" w:hAnsi="Graphik" w:cs="Graphik"/>
          <w:b/>
          <w:bCs/>
          <w:color w:val="000000"/>
          <w:sz w:val="18"/>
          <w:szCs w:val="18"/>
          <w:u w:color="FC6861"/>
          <w14:textOutline w14:w="12700" w14:cap="flat" w14:cmpd="sng" w14:algn="ctr">
            <w14:noFill/>
            <w14:prstDash w14:val="solid"/>
            <w14:miter w14:lim="400000"/>
          </w14:textOutline>
        </w:rPr>
      </w:pPr>
      <w:r>
        <w:rPr>
          <w:rFonts w:ascii="Graphik" w:hAnsi="Graphik" w:cs="Arial Unicode MS"/>
          <w:b/>
          <w:bCs/>
          <w:color w:val="000000"/>
          <w:sz w:val="18"/>
          <w:szCs w:val="18"/>
          <w:u w:color="FC6861"/>
          <w14:textOutline w14:w="12700" w14:cap="flat" w14:cmpd="sng" w14:algn="ctr">
            <w14:noFill/>
            <w14:prstDash w14:val="solid"/>
            <w14:miter w14:lim="400000"/>
          </w14:textOutline>
        </w:rPr>
        <w:t>3. Trakumsērgas simptomātika cilvēkam</w:t>
      </w:r>
    </w:p>
    <w:p w14:paraId="41EB48BC"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Prodromālie trakumsērgas simptomi - drebuļi, subfebrila ķermeņa temperatūra, nogurums, muskuļu sāpes, slikta dūša, vemšana, galvassāpes, fotofobija, sāpes vai neizskaidrojama tirpšana, durstīšana vai dedzinoša sajūta brūces vietā. Tipiski ir arī simptomi inficēta dzīvnieka koduma vietā - parestēzija, sāpes, jutīgums, nieze, dedzināšanas un tirpšanas sajūta, var būt nejūtīgums.</w:t>
      </w:r>
    </w:p>
    <w:p w14:paraId="7A522B96"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Zināmas divas trakumsērgas klīniskās formas:</w:t>
      </w:r>
    </w:p>
    <w:p w14:paraId="3D5F0AC9" w14:textId="77777777" w:rsidR="00137DF8" w:rsidRDefault="0024621C" w:rsidP="00794BB6">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 “nevaldāmā” (angliski </w:t>
      </w:r>
      <w:r>
        <w:rPr>
          <w:i/>
          <w:iCs/>
          <w:sz w:val="18"/>
          <w:szCs w:val="18"/>
          <w:u w:color="000000"/>
          <w14:textOutline w14:w="12700" w14:cap="flat" w14:cmpd="sng" w14:algn="ctr">
            <w14:noFill/>
            <w14:prstDash w14:val="solid"/>
            <w14:miter w14:lim="400000"/>
          </w14:textOutline>
        </w:rPr>
        <w:t>furious</w:t>
      </w:r>
      <w:r>
        <w:rPr>
          <w:sz w:val="18"/>
          <w:szCs w:val="18"/>
          <w:u w:color="000000"/>
          <w14:textOutline w14:w="12700" w14:cap="flat" w14:cmpd="sng" w14:algn="ctr">
            <w14:noFill/>
            <w14:prstDash w14:val="solid"/>
            <w14:miter w14:lim="400000"/>
          </w14:textOutline>
        </w:rPr>
        <w:t>) trakumsērga (visbiežāk sastopamā), kurai raksturīga hiperaktivitāte, hipersalivācija, svīšana, acu zīlīšu dilatācija, uzbudinājums, ažitācija, dezorientācija, vizuālas vai auditoras halucinācijas, hiperpireksija ar alternējošu hipotermiju, hidrofobija, rīkles muskuļu spazmas, aerofobija, disfāgija, kakla un muguras muskuļu hiperekstensija un spasticitāte. Var būt arī dizartrija, diplopija, vertigo. Nāve iestājas dažu dienu laikā kardiorespiratorās mazspējas dēļ.</w:t>
      </w:r>
      <w:r>
        <w:rPr>
          <w:sz w:val="18"/>
          <w:szCs w:val="18"/>
          <w:u w:color="000000"/>
          <w14:textOutline w14:w="12700" w14:cap="flat" w14:cmpd="sng" w14:algn="ctr">
            <w14:noFill/>
            <w14:prstDash w14:val="solid"/>
            <w14:miter w14:lim="400000"/>
          </w14:textOutline>
        </w:rPr>
        <w:br/>
        <w:t xml:space="preserve">- “paralītiskā” trakumsērga (angliski </w:t>
      </w:r>
      <w:r>
        <w:rPr>
          <w:i/>
          <w:iCs/>
          <w:sz w:val="18"/>
          <w:szCs w:val="18"/>
          <w:u w:color="000000"/>
          <w14:textOutline w14:w="12700" w14:cap="flat" w14:cmpd="sng" w14:algn="ctr">
            <w14:noFill/>
            <w14:prstDash w14:val="solid"/>
            <w14:miter w14:lim="400000"/>
          </w14:textOutline>
        </w:rPr>
        <w:t>paralytic</w:t>
      </w:r>
      <w:r>
        <w:rPr>
          <w:sz w:val="18"/>
          <w:szCs w:val="18"/>
          <w:u w:color="000000"/>
          <w14:textOutline w14:w="12700" w14:cap="flat" w14:cmpd="sng" w14:algn="ctr">
            <w14:noFill/>
            <w14:prstDash w14:val="solid"/>
            <w14:miter w14:lim="400000"/>
          </w14:textOutline>
        </w:rPr>
        <w:t xml:space="preserve">), kurai raksturīga mazāk izteikta un ilgstošāk noritoša klīniskā aina (klīniski var atgādināt </w:t>
      </w:r>
      <w:r>
        <w:rPr>
          <w:i/>
          <w:iCs/>
          <w:sz w:val="18"/>
          <w:szCs w:val="18"/>
          <w:u w:color="000000"/>
          <w14:textOutline w14:w="12700" w14:cap="flat" w14:cmpd="sng" w14:algn="ctr">
            <w14:noFill/>
            <w14:prstDash w14:val="solid"/>
            <w14:miter w14:lim="400000"/>
          </w14:textOutline>
        </w:rPr>
        <w:t>Guillain-Barre</w:t>
      </w:r>
      <w:r>
        <w:rPr>
          <w:sz w:val="18"/>
          <w:szCs w:val="18"/>
          <w:u w:color="000000"/>
          <w14:textOutline w14:w="12700" w14:cap="flat" w14:cmpd="sng" w14:algn="ctr">
            <w14:noFill/>
            <w14:prstDash w14:val="solid"/>
            <w14:miter w14:lim="400000"/>
          </w14:textOutline>
        </w:rPr>
        <w:t xml:space="preserve"> sindromu). Novēro pakāpenisku muskuļu paralīzi, kas sākas ar brūces vietu un izplatās simetriski vai asimetriski. Var būt galvassāpes, sāpes muskuļos, kakla muskuļu rigiditāte un kraniālo nervu parēzes. Lēnām attīstās koma un nāve. </w:t>
      </w:r>
    </w:p>
    <w:p w14:paraId="022D8D13" w14:textId="77777777" w:rsidR="00137DF8" w:rsidRDefault="0024621C">
      <w:pPr>
        <w:pStyle w:val="Default"/>
        <w:spacing w:after="160" w:line="288" w:lineRule="auto"/>
        <w:jc w:val="both"/>
        <w:outlineLvl w:val="0"/>
        <w:rPr>
          <w:rFonts w:hint="eastAsia"/>
          <w:sz w:val="18"/>
          <w:szCs w:val="18"/>
          <w:u w:val="single" w:color="000000"/>
          <w14:textOutline w14:w="12700" w14:cap="flat" w14:cmpd="sng" w14:algn="ctr">
            <w14:noFill/>
            <w14:prstDash w14:val="solid"/>
            <w14:miter w14:lim="400000"/>
          </w14:textOutline>
        </w:rPr>
      </w:pPr>
      <w:r>
        <w:rPr>
          <w:sz w:val="18"/>
          <w:szCs w:val="18"/>
          <w:u w:val="single" w:color="000000"/>
          <w14:textOutline w14:w="12700" w14:cap="flat" w14:cmpd="sng" w14:algn="ctr">
            <w14:noFill/>
            <w14:prstDash w14:val="solid"/>
            <w14:miter w14:lim="400000"/>
          </w14:textOutline>
        </w:rPr>
        <w:lastRenderedPageBreak/>
        <w:t>Indikatori (simptomi, pazīmes), kas varētu liecināt par trakumsērgu cilvēkam:</w:t>
      </w:r>
    </w:p>
    <w:p w14:paraId="2889D364" w14:textId="77777777" w:rsidR="00137DF8" w:rsidRDefault="0024621C" w:rsidP="000B7B11">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nespecifiski simptomi prodromā pirms neiroloģiskās simptomātikas parādīšanās,</w:t>
      </w:r>
      <w:r>
        <w:rPr>
          <w:sz w:val="18"/>
          <w:szCs w:val="18"/>
          <w:u w:color="000000"/>
          <w14:textOutline w14:w="12700" w14:cap="flat" w14:cmpd="sng" w14:algn="ctr">
            <w14:noFill/>
            <w14:prstDash w14:val="solid"/>
            <w14:miter w14:lim="400000"/>
          </w14:textOutline>
        </w:rPr>
        <w:br/>
        <w:t>- neiroloģiski simptomi, kas saistāmi ar encefalītu vai mielītu - disfāgija, hidrofobija, parēzes,</w:t>
      </w:r>
      <w:r>
        <w:rPr>
          <w:sz w:val="18"/>
          <w:szCs w:val="18"/>
          <w:u w:color="000000"/>
          <w14:textOutline w14:w="12700" w14:cap="flat" w14:cmpd="sng" w14:algn="ctr">
            <w14:noFill/>
            <w14:prstDash w14:val="solid"/>
            <w14:miter w14:lim="400000"/>
          </w14:textOutline>
        </w:rPr>
        <w:br/>
        <w:t>- neiroloģisko simptomu progresēšana,</w:t>
      </w:r>
      <w:r>
        <w:rPr>
          <w:sz w:val="18"/>
          <w:szCs w:val="18"/>
          <w:u w:color="000000"/>
          <w14:textOutline w14:w="12700" w14:cap="flat" w14:cmpd="sng" w14:algn="ctr">
            <w14:noFill/>
            <w14:prstDash w14:val="solid"/>
            <w14:miter w14:lim="400000"/>
          </w14:textOutline>
        </w:rPr>
        <w:br/>
        <w:t>- izslēgti citas etioloģijas encefalīti.</w:t>
      </w:r>
    </w:p>
    <w:p w14:paraId="4A7F73BA" w14:textId="77777777" w:rsidR="00137DF8" w:rsidRDefault="0024621C">
      <w:pPr>
        <w:pStyle w:val="Default"/>
        <w:spacing w:after="160" w:line="288" w:lineRule="auto"/>
        <w:jc w:val="both"/>
        <w:outlineLvl w:val="0"/>
        <w:rPr>
          <w:rFonts w:hint="eastAsia"/>
          <w:sz w:val="18"/>
          <w:szCs w:val="18"/>
          <w:u w:val="single" w:color="000000"/>
          <w14:textOutline w14:w="12700" w14:cap="flat" w14:cmpd="sng" w14:algn="ctr">
            <w14:noFill/>
            <w14:prstDash w14:val="solid"/>
            <w14:miter w14:lim="400000"/>
          </w14:textOutline>
        </w:rPr>
      </w:pPr>
      <w:r>
        <w:rPr>
          <w:sz w:val="18"/>
          <w:szCs w:val="18"/>
          <w:u w:val="single" w:color="000000"/>
          <w14:textOutline w14:w="12700" w14:cap="flat" w14:cmpd="sng" w14:algn="ctr">
            <w14:noFill/>
            <w14:prstDash w14:val="solid"/>
            <w14:miter w14:lim="400000"/>
          </w14:textOutline>
        </w:rPr>
        <w:t>Indikatori (simptomi, pazīmes), kas neliecina par trakumsērgu cilvēkam:</w:t>
      </w:r>
    </w:p>
    <w:p w14:paraId="16879398" w14:textId="77777777" w:rsidR="00137DF8" w:rsidRDefault="0024621C" w:rsidP="00794BB6">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neiroloģisko simptomu un statusa uzlabošanās vai bez izmaiņām dinamikā,</w:t>
      </w:r>
      <w:r>
        <w:rPr>
          <w:sz w:val="18"/>
          <w:szCs w:val="18"/>
          <w:u w:color="000000"/>
          <w14:textOutline w14:w="12700" w14:cap="flat" w14:cmpd="sng" w14:algn="ctr">
            <w14:noFill/>
            <w14:prstDash w14:val="solid"/>
            <w14:miter w14:lim="400000"/>
          </w14:textOutline>
        </w:rPr>
        <w:br/>
        <w:t>- slimības ilgums &gt; 2 - 3 nedēļas.</w:t>
      </w:r>
    </w:p>
    <w:p w14:paraId="6A35ECB5"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31C6C854"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4. Riska izvērtēšana</w:t>
      </w:r>
    </w:p>
    <w:p w14:paraId="31FFF98F"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Valstīs vai teritorijās, </w:t>
      </w:r>
      <w:r>
        <w:rPr>
          <w:b/>
          <w:bCs/>
          <w:color w:val="5E5E5E"/>
          <w:sz w:val="18"/>
          <w:szCs w:val="18"/>
          <w:u w:color="000000"/>
          <w14:textOutline w14:w="12700" w14:cap="flat" w14:cmpd="sng" w14:algn="ctr">
            <w14:noFill/>
            <w14:prstDash w14:val="solid"/>
            <w14:miter w14:lim="400000"/>
          </w14:textOutline>
        </w:rPr>
        <w:t>kur ir sastopama trakumsērga</w:t>
      </w:r>
      <w:r>
        <w:rPr>
          <w:sz w:val="18"/>
          <w:szCs w:val="18"/>
          <w:u w:color="000000"/>
          <w14:textOutline w14:w="12700" w14:cap="flat" w14:cmpd="sng" w14:algn="ctr">
            <w14:noFill/>
            <w14:prstDash w14:val="solid"/>
            <w14:miter w14:lim="400000"/>
          </w14:textOutline>
        </w:rPr>
        <w:t>, aizdomīga, iespējama vai apstiprināta ekspozīcija ar trakumsērgu inficētiem mājas vai savvaļas dzīvniekiem tiek iedalīta kategorijās:</w:t>
      </w:r>
    </w:p>
    <w:p w14:paraId="4415C1E2" w14:textId="77777777" w:rsidR="00137DF8" w:rsidRDefault="0024621C" w:rsidP="00794BB6">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 </w:t>
      </w:r>
      <w:r>
        <w:rPr>
          <w:b/>
          <w:bCs/>
          <w:sz w:val="18"/>
          <w:szCs w:val="18"/>
          <w:u w:color="000000"/>
          <w14:textOutline w14:w="12700" w14:cap="flat" w14:cmpd="sng" w14:algn="ctr">
            <w14:noFill/>
            <w14:prstDash w14:val="solid"/>
            <w14:miter w14:lim="400000"/>
          </w14:textOutline>
        </w:rPr>
        <w:t>I kategorija</w:t>
      </w:r>
      <w:r>
        <w:rPr>
          <w:sz w:val="18"/>
          <w:szCs w:val="18"/>
          <w:u w:color="000000"/>
          <w14:textOutline w14:w="12700" w14:cap="flat" w14:cmpd="sng" w14:algn="ctr">
            <w14:noFill/>
            <w14:prstDash w14:val="solid"/>
            <w14:miter w14:lim="400000"/>
          </w14:textOutline>
        </w:rPr>
        <w:t xml:space="preserve">: pieskāršanās dzīvniekam, dzīvnieka barošana, vai dzīvnieks nolaiza intaktu ādu; ekspozīcija ar dzīvnieka asinīm, urīnu vai fēcēm; ekpozīcija ar vīrusu NAV - </w:t>
      </w:r>
      <w:r>
        <w:rPr>
          <w:sz w:val="18"/>
          <w:szCs w:val="18"/>
          <w:u w:val="single" w:color="000000"/>
          <w14:textOutline w14:w="12700" w14:cap="flat" w14:cmpd="sng" w14:algn="ctr">
            <w14:noFill/>
            <w14:prstDash w14:val="solid"/>
            <w14:miter w14:lim="400000"/>
          </w14:textOutline>
        </w:rPr>
        <w:t>PEP nav indicēta,</w:t>
      </w:r>
      <w:r>
        <w:rPr>
          <w:sz w:val="18"/>
          <w:szCs w:val="18"/>
          <w:u w:val="single" w:color="000000"/>
          <w14:textOutline w14:w="12700" w14:cap="flat" w14:cmpd="sng" w14:algn="ctr">
            <w14:noFill/>
            <w14:prstDash w14:val="solid"/>
            <w14:miter w14:lim="400000"/>
          </w14:textOutline>
        </w:rPr>
        <w:br/>
      </w:r>
      <w:r>
        <w:rPr>
          <w:sz w:val="18"/>
          <w:szCs w:val="18"/>
          <w:u w:color="000000"/>
          <w14:textOutline w14:w="12700" w14:cap="flat" w14:cmpd="sng" w14:algn="ctr">
            <w14:noFill/>
            <w14:prstDash w14:val="solid"/>
            <w14:miter w14:lim="400000"/>
          </w14:textOutline>
        </w:rPr>
        <w:t xml:space="preserve">- </w:t>
      </w:r>
      <w:r>
        <w:rPr>
          <w:b/>
          <w:bCs/>
          <w:sz w:val="18"/>
          <w:szCs w:val="18"/>
          <w:u w:color="000000"/>
          <w14:textOutline w14:w="12700" w14:cap="flat" w14:cmpd="sng" w14:algn="ctr">
            <w14:noFill/>
            <w14:prstDash w14:val="solid"/>
            <w14:miter w14:lim="400000"/>
          </w14:textOutline>
        </w:rPr>
        <w:t>II kategorija</w:t>
      </w:r>
      <w:r>
        <w:rPr>
          <w:sz w:val="18"/>
          <w:szCs w:val="18"/>
          <w:u w:color="000000"/>
          <w14:textOutline w14:w="12700" w14:cap="flat" w14:cmpd="sng" w14:algn="ctr">
            <w14:noFill/>
            <w14:prstDash w14:val="solid"/>
            <w14:miter w14:lim="400000"/>
          </w14:textOutline>
        </w:rPr>
        <w:t xml:space="preserve">: virspusēji, sīki ādas bojājumi, nelieli skrāpējumi vai abrāzija bez asiņošanas; ekpozīcija ar vīrusu IR (ja šīs kategorijas miesas bojājumus nodara sikspārnis, tas klasificējams kā III kategorija) – </w:t>
      </w:r>
      <w:r>
        <w:rPr>
          <w:sz w:val="18"/>
          <w:szCs w:val="18"/>
          <w:u w:val="single" w:color="000000"/>
          <w14:textOutline w14:w="12700" w14:cap="flat" w14:cmpd="sng" w14:algn="ctr">
            <w14:noFill/>
            <w14:prstDash w14:val="solid"/>
            <w14:miter w14:lim="400000"/>
          </w14:textOutline>
        </w:rPr>
        <w:t>PEP tikai ar vakcīnu</w:t>
      </w:r>
      <w:r>
        <w:rPr>
          <w:sz w:val="18"/>
          <w:szCs w:val="18"/>
          <w:u w:color="000000"/>
          <w14:textOutline w14:w="12700" w14:cap="flat" w14:cmpd="sng" w14:algn="ctr">
            <w14:noFill/>
            <w14:prstDash w14:val="solid"/>
            <w14:miter w14:lim="400000"/>
          </w14:textOutline>
        </w:rPr>
        <w:t xml:space="preserve"> (imūnkompromitētajiem arī RIG),</w:t>
      </w:r>
      <w:r>
        <w:rPr>
          <w:sz w:val="18"/>
          <w:szCs w:val="18"/>
          <w:u w:color="000000"/>
          <w14:textOutline w14:w="12700" w14:cap="flat" w14:cmpd="sng" w14:algn="ctr">
            <w14:noFill/>
            <w14:prstDash w14:val="solid"/>
            <w14:miter w14:lim="400000"/>
          </w14:textOutline>
        </w:rPr>
        <w:br/>
        <w:t xml:space="preserve">- </w:t>
      </w:r>
      <w:r>
        <w:rPr>
          <w:b/>
          <w:bCs/>
          <w:sz w:val="18"/>
          <w:szCs w:val="18"/>
          <w:u w:color="000000"/>
          <w14:textOutline w14:w="12700" w14:cap="flat" w14:cmpd="sng" w14:algn="ctr">
            <w14:noFill/>
            <w14:prstDash w14:val="solid"/>
            <w14:miter w14:lim="400000"/>
          </w14:textOutline>
        </w:rPr>
        <w:t>III kategorija</w:t>
      </w:r>
      <w:r>
        <w:rPr>
          <w:sz w:val="18"/>
          <w:szCs w:val="18"/>
          <w:u w:color="000000"/>
          <w14:textOutline w14:w="12700" w14:cap="flat" w14:cmpd="sng" w14:algn="ctr">
            <w14:noFill/>
            <w14:prstDash w14:val="solid"/>
            <w14:miter w14:lim="400000"/>
          </w14:textOutline>
        </w:rPr>
        <w:t xml:space="preserve">: viens vai vairāki ādu penetrējoši kodumi vai skrāpējumi, dzīvnieks nolaizījis gļotādas vai bojātu ādu, tiešs kontakts ar sikspārni; ekspozīcija ar vīrusu IR - </w:t>
      </w:r>
      <w:r>
        <w:rPr>
          <w:sz w:val="18"/>
          <w:szCs w:val="18"/>
          <w:u w:val="single" w:color="000000"/>
          <w14:textOutline w14:w="12700" w14:cap="flat" w14:cmpd="sng" w14:algn="ctr">
            <w14:noFill/>
            <w14:prstDash w14:val="solid"/>
            <w14:miter w14:lim="400000"/>
          </w14:textOutline>
        </w:rPr>
        <w:t>PEP ar vakcīnu un RIG</w:t>
      </w:r>
      <w:r>
        <w:rPr>
          <w:sz w:val="18"/>
          <w:szCs w:val="18"/>
          <w:u w:color="000000"/>
          <w14:textOutline w14:w="12700" w14:cap="flat" w14:cmpd="sng" w14:algn="ctr">
            <w14:noFill/>
            <w14:prstDash w14:val="solid"/>
            <w14:miter w14:lim="400000"/>
          </w14:textOutline>
        </w:rPr>
        <w:t>.</w:t>
      </w:r>
    </w:p>
    <w:p w14:paraId="11BBDA43" w14:textId="77777777" w:rsidR="00137DF8" w:rsidRDefault="0024621C">
      <w:pPr>
        <w:pStyle w:val="Default"/>
        <w:spacing w:after="160" w:line="288" w:lineRule="auto"/>
        <w:jc w:val="center"/>
        <w:outlineLvl w:val="0"/>
        <w:rPr>
          <w:rFonts w:hint="eastAsia"/>
          <w:b/>
          <w:bCs/>
          <w:color w:val="1C3780"/>
          <w:sz w:val="18"/>
          <w:szCs w:val="18"/>
          <w:u w:val="single" w:color="000000"/>
          <w14:textOutline w14:w="12700" w14:cap="flat" w14:cmpd="sng" w14:algn="ctr">
            <w14:noFill/>
            <w14:prstDash w14:val="solid"/>
            <w14:miter w14:lim="400000"/>
          </w14:textOutline>
        </w:rPr>
      </w:pPr>
      <w:r>
        <w:rPr>
          <w:b/>
          <w:bCs/>
          <w:color w:val="1C3780"/>
          <w:sz w:val="18"/>
          <w:szCs w:val="18"/>
          <w:u w:val="single" w:color="000000"/>
          <w14:textOutline w14:w="12700" w14:cap="flat" w14:cmpd="sng" w14:algn="ctr">
            <w14:noFill/>
            <w14:prstDash w14:val="solid"/>
            <w14:miter w14:lim="400000"/>
          </w14:textOutline>
        </w:rPr>
        <w:t>Detalizēts riska izvērtējums sastāv no: ekspozīcijas kategorijas noteikšanas + dzīvnieka, ar kuru bijis kontakts, izvērtējuma + personas imūnā statusa + iepriekš veiktās vakcinācijas!</w:t>
      </w:r>
    </w:p>
    <w:p w14:paraId="6EB10A0A" w14:textId="77777777" w:rsidR="00137DF8" w:rsidRDefault="0024621C">
      <w:pPr>
        <w:pStyle w:val="Default"/>
        <w:spacing w:after="160" w:line="288" w:lineRule="auto"/>
        <w:jc w:val="center"/>
        <w:outlineLvl w:val="0"/>
        <w:rPr>
          <w:rFonts w:hint="eastAsia"/>
          <w:b/>
          <w:bCs/>
          <w:color w:val="1C3780"/>
          <w:sz w:val="18"/>
          <w:szCs w:val="18"/>
          <w:u w:color="4D4D4D"/>
          <w14:textOutline w14:w="12700" w14:cap="flat" w14:cmpd="sng" w14:algn="ctr">
            <w14:noFill/>
            <w14:prstDash w14:val="solid"/>
            <w14:miter w14:lim="400000"/>
          </w14:textOutline>
        </w:rPr>
      </w:pPr>
      <w:r>
        <w:rPr>
          <w:b/>
          <w:bCs/>
          <w:color w:val="1D3882"/>
          <w:sz w:val="18"/>
          <w:szCs w:val="18"/>
          <w:u w:color="008CB4"/>
          <w14:textOutline w14:w="12700" w14:cap="flat" w14:cmpd="sng" w14:algn="ctr">
            <w14:noFill/>
            <w14:prstDash w14:val="solid"/>
            <w14:miter w14:lim="400000"/>
          </w14:textOutline>
        </w:rPr>
        <w:t>Visu ekspozīcijas kategoriju gadījumā nepieciešama pēc iespējas ātrāka un skrupuloza lokāla brūces apstrāde!</w:t>
      </w:r>
      <w:r>
        <w:rPr>
          <w:b/>
          <w:bCs/>
          <w:color w:val="1D3882"/>
          <w:sz w:val="18"/>
          <w:szCs w:val="18"/>
          <w:u w:color="008CB4"/>
          <w14:textOutline w14:w="12700" w14:cap="flat" w14:cmpd="sng" w14:algn="ctr">
            <w14:noFill/>
            <w14:prstDash w14:val="solid"/>
            <w14:miter w14:lim="400000"/>
          </w14:textOutline>
        </w:rPr>
        <w:br/>
      </w:r>
      <w:r>
        <w:rPr>
          <w:b/>
          <w:bCs/>
          <w:color w:val="1C3780"/>
          <w:sz w:val="18"/>
          <w:szCs w:val="18"/>
          <w:u w:color="008CB4"/>
          <w14:textOutline w14:w="12700" w14:cap="flat" w14:cmpd="sng" w14:algn="ctr">
            <w14:noFill/>
            <w14:prstDash w14:val="solid"/>
            <w14:miter w14:lim="400000"/>
          </w14:textOutline>
        </w:rPr>
        <w:br/>
        <w:t>Ja dzīvniekam apstiprināta trakumsērga, pēcekspozīcijas profilakse veicama pat, ja kopš ekspozīcijas pagājuši vairāki gadi.</w:t>
      </w:r>
    </w:p>
    <w:p w14:paraId="18DB0956"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Latvijā mājdzīvnieki reti tiek pieskaitīti ar trakumsērgu slimiem vai inficētiem dzīvniekiem, taču trakumsērgas skartajās valstīs suņi ir mājdzīvnieku suga, kura visvairāk izraisa cilvēka, sevišķi bērnu, inficēšanās gadījumus ar trakumsērgas vīrusu. Ekspozīcijas risks noteiktā reģionā vai teritorijā ir saistāms ar sabiedrības attieksmi pret trakumsērgu un sociāli kulturālām īpatnībām saistībā ar medicīniskās palīdzības meklēšanu pēc dzīvnieka koduma, trakumsērgas izplatības uzraudzības programmas un vietējiem epidemioloģiskajiem datiem. Izvērtējot ekspozīcijas riskus, jāņem vērā šādi faktori: </w:t>
      </w:r>
    </w:p>
    <w:p w14:paraId="2601EAB5" w14:textId="77777777" w:rsidR="00137DF8" w:rsidRDefault="0024621C" w:rsidP="00794BB6">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trakumsērgas izplatība valstī, epidemioloģiskie dati (</w:t>
      </w:r>
      <w:r>
        <w:rPr>
          <w:b/>
          <w:bCs/>
          <w:color w:val="1C3780"/>
          <w:sz w:val="18"/>
          <w:szCs w:val="18"/>
          <w:u w:color="000000"/>
          <w14:textOutline w14:w="12700" w14:cap="flat" w14:cmpd="sng" w14:algn="ctr">
            <w14:noFill/>
            <w14:prstDash w14:val="solid"/>
            <w14:miter w14:lim="400000"/>
          </w14:textOutline>
        </w:rPr>
        <w:t>NB! Latvija ir no trakumsērgas brīva valsts</w:t>
      </w:r>
      <w:r>
        <w:rPr>
          <w:sz w:val="18"/>
          <w:szCs w:val="18"/>
          <w:u w:color="000000"/>
          <w14:textOutline w14:w="12700" w14:cap="flat" w14:cmpd="sng" w14:algn="ctr">
            <w14:noFill/>
            <w14:prstDash w14:val="solid"/>
            <w14:miter w14:lim="400000"/>
          </w14:textOutline>
        </w:rPr>
        <w:t>),</w:t>
      </w:r>
      <w:r>
        <w:rPr>
          <w:sz w:val="18"/>
          <w:szCs w:val="18"/>
          <w:u w:color="000000"/>
          <w14:textOutline w14:w="12700" w14:cap="flat" w14:cmpd="sng" w14:algn="ctr">
            <w14:noFill/>
            <w14:prstDash w14:val="solid"/>
            <w14:miter w14:lim="400000"/>
          </w14:textOutline>
        </w:rPr>
        <w:br/>
        <w:t>- ekspozīcijas kategorija,</w:t>
      </w:r>
      <w:r>
        <w:rPr>
          <w:sz w:val="18"/>
          <w:szCs w:val="18"/>
          <w:u w:color="000000"/>
          <w14:textOutline w14:w="12700" w14:cap="flat" w14:cmpd="sng" w14:algn="ctr">
            <w14:noFill/>
            <w14:prstDash w14:val="solid"/>
            <w14:miter w14:lim="400000"/>
          </w14:textOutline>
        </w:rPr>
        <w:br/>
        <w:t>- dzīvnieka suga un dzīvnieka klīniskās iezīmes (tabula Nr. 1 un shēma Nr. 2),</w:t>
      </w:r>
      <w:r>
        <w:rPr>
          <w:sz w:val="18"/>
          <w:szCs w:val="18"/>
          <w:u w:color="000000"/>
          <w14:textOutline w14:w="12700" w14:cap="flat" w14:cmpd="sng" w14:algn="ctr">
            <w14:noFill/>
            <w14:prstDash w14:val="solid"/>
            <w14:miter w14:lim="400000"/>
          </w14:textOutline>
        </w:rPr>
        <w:br/>
        <w:t>- dzīvnieka vakcinācijas statuss un iespēja novērot dzīvnieku (kaķi, suņi u.c. dzīvnieki),</w:t>
      </w:r>
      <w:r>
        <w:rPr>
          <w:sz w:val="18"/>
          <w:szCs w:val="18"/>
          <w:u w:color="FF0000"/>
          <w14:textOutline w14:w="12700" w14:cap="flat" w14:cmpd="sng" w14:algn="ctr">
            <w14:noFill/>
            <w14:prstDash w14:val="solid"/>
            <w14:miter w14:lim="400000"/>
          </w14:textOutline>
        </w:rPr>
        <w:br/>
      </w:r>
      <w:r>
        <w:rPr>
          <w:sz w:val="18"/>
          <w:szCs w:val="18"/>
          <w:u w:color="000000"/>
          <w14:textOutline w14:w="12700" w14:cap="flat" w14:cmpd="sng" w14:algn="ctr">
            <w14:noFill/>
            <w14:prstDash w14:val="solid"/>
            <w14:miter w14:lim="400000"/>
          </w14:textOutline>
        </w:rPr>
        <w:t>- dzīvnieka trakumsērgas laboratorijas izmeklējumu rezultāti.</w:t>
      </w:r>
    </w:p>
    <w:p w14:paraId="3295D9A7"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Kad ir iespējams, dzīvnieku nepieciešams novērtēt praktizējošam veterinārārstam, kas ir apmācīts to darīt un zina dzīvnieku trakumsērgas klīniskās pazīmes, lai mazinātu nepamatotu vakcīnu un RIG izmantošanu. Pēc kontakta ar savvaļas dzīvniekiem ekspozīcijas risks ir jāizvērtē, ņemot vērā lokālos epidemioloģiskos datus par trakumsērgas izplatību. </w:t>
      </w:r>
    </w:p>
    <w:p w14:paraId="39CBA27A"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PEP ar vakcīnu un/vai RIG jāuzsāk nekavējoši: </w:t>
      </w:r>
    </w:p>
    <w:p w14:paraId="5424EEBF" w14:textId="77777777" w:rsidR="00137DF8" w:rsidRDefault="0024621C" w:rsidP="000E6321">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 pēc dzīvnieku kodumiem, kurus nevar novērot (tie uzskatāmi par iespējami inficētiem; tabula Nr. 1), </w:t>
      </w:r>
      <w:r>
        <w:rPr>
          <w:sz w:val="18"/>
          <w:szCs w:val="18"/>
          <w:u w:color="000000"/>
          <w14:textOutline w14:w="12700" w14:cap="flat" w14:cmpd="sng" w14:algn="ctr">
            <w14:noFill/>
            <w14:prstDash w14:val="solid"/>
            <w14:miter w14:lim="400000"/>
          </w14:textOutline>
        </w:rPr>
        <w:br/>
        <w:t>- pēc iespējami inficētu dzīvnieku kodumiem sejā un kaklā pat, ja dzīvnieks tiek laboratoriski izmeklēts, kā arī pēc kodumiem maziem bērniem (raksturīgs īss inkubācijas periods),</w:t>
      </w:r>
      <w:r>
        <w:rPr>
          <w:sz w:val="18"/>
          <w:szCs w:val="18"/>
          <w:u w:color="000000"/>
          <w14:textOutline w14:w="12700" w14:cap="flat" w14:cmpd="sng" w14:algn="ctr">
            <w14:noFill/>
            <w14:prstDash w14:val="solid"/>
            <w14:miter w14:lim="400000"/>
          </w14:textOutline>
        </w:rPr>
        <w:br/>
        <w:t>- pēc kontakta ar dzīvniekiem, kas uzskatāmi par aizdomīgiem, iespējami vai apstiprināti inficētiem (shēma Nr. 2).</w:t>
      </w:r>
    </w:p>
    <w:p w14:paraId="27E7F9B8" w14:textId="77777777" w:rsidR="000E6321" w:rsidRDefault="000E6321" w:rsidP="000E6321">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p>
    <w:p w14:paraId="0963C3A4"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lastRenderedPageBreak/>
        <w:t>Tabula Nr. 1. Ekspozīcijas riska izvērtēšana, balstoties uz suņa iezīmju izvērtējumu</w:t>
      </w:r>
    </w:p>
    <w:tbl>
      <w:tblPr>
        <w:tblW w:w="97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937"/>
        <w:gridCol w:w="974"/>
        <w:gridCol w:w="1124"/>
        <w:gridCol w:w="985"/>
        <w:gridCol w:w="848"/>
        <w:gridCol w:w="870"/>
        <w:gridCol w:w="730"/>
        <w:gridCol w:w="784"/>
        <w:gridCol w:w="826"/>
        <w:gridCol w:w="822"/>
        <w:gridCol w:w="829"/>
      </w:tblGrid>
      <w:tr w:rsidR="00137DF8" w14:paraId="5453B189" w14:textId="77777777">
        <w:trPr>
          <w:trHeight w:val="169"/>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51C1B"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Ekspozīcija/ kodumu lokalizācija</w:t>
            </w:r>
          </w:p>
        </w:tc>
        <w:tc>
          <w:tcPr>
            <w:tcW w:w="9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41420"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Nāves iespējamība atkarībā no ekspozīcijas līmeņa</w:t>
            </w:r>
          </w:p>
        </w:tc>
        <w:tc>
          <w:tcPr>
            <w:tcW w:w="6167"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24BAB6"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Informācija, kas ievākta dzīvnieka koduma laikā</w:t>
            </w:r>
          </w:p>
        </w:tc>
        <w:tc>
          <w:tcPr>
            <w:tcW w:w="16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B9C9B"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Karantīna vai testēšana</w:t>
            </w:r>
          </w:p>
        </w:tc>
      </w:tr>
      <w:tr w:rsidR="00137DF8" w14:paraId="51F18157" w14:textId="77777777">
        <w:trPr>
          <w:trHeight w:val="649"/>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Pr>
          <w:p w14:paraId="29CEBCB2" w14:textId="77777777" w:rsidR="00137DF8" w:rsidRDefault="00137DF8"/>
        </w:tc>
        <w:tc>
          <w:tcPr>
            <w:tcW w:w="974" w:type="dxa"/>
            <w:vMerge/>
            <w:tcBorders>
              <w:top w:val="single" w:sz="4" w:space="0" w:color="000000"/>
              <w:left w:val="single" w:sz="4" w:space="0" w:color="000000"/>
              <w:bottom w:val="single" w:sz="4" w:space="0" w:color="000000"/>
              <w:right w:val="single" w:sz="4" w:space="0" w:color="000000"/>
            </w:tcBorders>
            <w:shd w:val="clear" w:color="auto" w:fill="auto"/>
          </w:tcPr>
          <w:p w14:paraId="7B29D007" w14:textId="77777777" w:rsidR="00137DF8" w:rsidRDefault="00137DF8"/>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E94CE"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simptomātisks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F6AD8"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miris novērošanas laikā</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2A94D"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Suņa kodums nav bijis provocēts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5B7BB"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Klaiņojošs suns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642B9"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sakodis vairākus cilvēkus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A791D"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nav vakcinēts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5396E"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ir vesels un iespējams novērot</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92061"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Suns vesels 10 dienas pēc koduma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C06E5"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Testēšana negatīva</w:t>
            </w:r>
          </w:p>
        </w:tc>
      </w:tr>
      <w:tr w:rsidR="00137DF8" w14:paraId="4CC746E3" w14:textId="77777777">
        <w:trPr>
          <w:trHeight w:val="329"/>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BD41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Kodums galvā, kaklā</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03C53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45,0%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12FB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122F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26B47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5501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EFBB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B888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07B5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49186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A89D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r>
      <w:tr w:rsidR="00137DF8" w14:paraId="17846C40" w14:textId="77777777">
        <w:trPr>
          <w:trHeight w:val="329"/>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7526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Vairāki kodumi</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FF38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27,5%</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E8D4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0E098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91215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B8EC8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6124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788C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171E7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8DC2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38A7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r>
      <w:tr w:rsidR="00137DF8" w14:paraId="3C1F4286" w14:textId="77777777">
        <w:trPr>
          <w:trHeight w:val="329"/>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39856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Sakosti mazi bērni</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EA19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27,5%</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934E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E899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0FDE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992E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CDA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780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7470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3D2CF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1D90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r>
      <w:tr w:rsidR="00137DF8" w14:paraId="39CB174A" w14:textId="77777777">
        <w:trPr>
          <w:trHeight w:val="329"/>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7E0E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Kodumi ekstremitātēs</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8AD52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5,0%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11D7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Augsts risks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3B98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0D6A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73BA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93D7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8652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DA8B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D5D1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5A71C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r>
      <w:tr w:rsidR="00137DF8" w14:paraId="45FCD597" w14:textId="77777777">
        <w:trPr>
          <w:trHeight w:val="489"/>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9365E" w14:textId="77777777" w:rsidR="00137DF8" w:rsidRPr="0021328C" w:rsidRDefault="0024621C">
            <w:pPr>
              <w:pStyle w:val="Default"/>
              <w:spacing w:after="320"/>
              <w:outlineLvl w:val="0"/>
              <w:rPr>
                <w:rFonts w:hint="eastAsia"/>
                <w:lang w:val="es-ES"/>
              </w:rPr>
            </w:pPr>
            <w:r w:rsidRPr="0021328C">
              <w:rPr>
                <w:sz w:val="12"/>
                <w:szCs w:val="12"/>
                <w:u w:color="000000"/>
                <w:lang w:val="es-ES"/>
                <w14:textOutline w14:w="12700" w14:cap="flat" w14:cmpd="sng" w14:algn="ctr">
                  <w14:noFill/>
                  <w14:prstDash w14:val="solid"/>
                  <w14:miter w14:lim="400000"/>
                </w14:textOutline>
              </w:rPr>
              <w:t>Sīki kodumi (āda bez penetrācijas)</w:t>
            </w:r>
          </w:p>
        </w:tc>
        <w:tc>
          <w:tcPr>
            <w:tcW w:w="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78EB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BB34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9F46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2CBA6"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B4ED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B3B2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Vidējs risks</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A47B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D7EC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Zems risks</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4C56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69E1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riska</w:t>
            </w:r>
          </w:p>
        </w:tc>
      </w:tr>
      <w:tr w:rsidR="00137DF8" w14:paraId="24A59D62" w14:textId="77777777">
        <w:trPr>
          <w:trHeight w:val="329"/>
        </w:trPr>
        <w:tc>
          <w:tcPr>
            <w:tcW w:w="191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AE2E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Suns iespējams inficēts ar trakumsērgu</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F00E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62,2%</w:t>
            </w:r>
          </w:p>
        </w:tc>
        <w:tc>
          <w:tcPr>
            <w:tcW w:w="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32B2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39,7%</w:t>
            </w:r>
          </w:p>
        </w:tc>
        <w:tc>
          <w:tcPr>
            <w:tcW w:w="8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AA98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15,0%</w:t>
            </w:r>
          </w:p>
        </w:tc>
        <w:tc>
          <w:tcPr>
            <w:tcW w:w="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70C7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13,9%</w:t>
            </w:r>
          </w:p>
        </w:tc>
        <w:tc>
          <w:tcPr>
            <w:tcW w:w="7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527D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10,6%</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B52B7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0F99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0,08%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54BF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0,0%</w:t>
            </w:r>
          </w:p>
        </w:tc>
        <w:tc>
          <w:tcPr>
            <w:tcW w:w="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FF84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0,0%</w:t>
            </w:r>
          </w:p>
        </w:tc>
      </w:tr>
    </w:tbl>
    <w:p w14:paraId="0093724D" w14:textId="77777777" w:rsidR="00137DF8" w:rsidRDefault="00137DF8">
      <w:pPr>
        <w:pStyle w:val="Default"/>
        <w:spacing w:after="140" w:line="288" w:lineRule="auto"/>
        <w:outlineLvl w:val="0"/>
        <w:rPr>
          <w:rFonts w:hint="eastAsia"/>
          <w:u w:color="000000"/>
          <w14:textOutline w14:w="12700" w14:cap="flat" w14:cmpd="sng" w14:algn="ctr">
            <w14:noFill/>
            <w14:prstDash w14:val="solid"/>
            <w14:miter w14:lim="400000"/>
          </w14:textOutline>
        </w:rPr>
      </w:pPr>
    </w:p>
    <w:p w14:paraId="3394A234"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Ja kodušais dzīvnieks neatbilst aizdomīga gadījuma definīcijai un to ir iespējams novērot, tad jāveic brūces apstrāde un PEP novērošanas laika periodā var atlikt - </w:t>
      </w:r>
      <w:r>
        <w:rPr>
          <w:sz w:val="18"/>
          <w:szCs w:val="18"/>
          <w:u w:color="4D4D4D"/>
          <w14:textOutline w14:w="12700" w14:cap="flat" w14:cmpd="sng" w14:algn="ctr">
            <w14:noFill/>
            <w14:prstDash w14:val="solid"/>
            <w14:miter w14:lim="400000"/>
          </w14:textOutline>
        </w:rPr>
        <w:t>10 dienas vai, ja laboratorija</w:t>
      </w:r>
      <w:r>
        <w:rPr>
          <w:rFonts w:ascii="Arial Unicode MS" w:hAnsi="Arial Unicode MS"/>
          <w:sz w:val="18"/>
          <w:szCs w:val="18"/>
          <w:u w:color="4D4D4D"/>
          <w14:textOutline w14:w="12700" w14:cap="flat" w14:cmpd="sng" w14:algn="ctr">
            <w14:noFill/>
            <w14:prstDash w14:val="solid"/>
            <w14:miter w14:lim="400000"/>
          </w14:textOutline>
        </w:rPr>
        <w:t>̄</w:t>
      </w:r>
      <w:r>
        <w:rPr>
          <w:sz w:val="18"/>
          <w:szCs w:val="18"/>
          <w:u w:color="4D4D4D"/>
          <w14:textOutline w14:w="12700" w14:cap="flat" w14:cmpd="sng" w14:algn="ctr">
            <w14:noFill/>
            <w14:prstDash w14:val="solid"/>
            <w14:miter w14:lim="400000"/>
          </w14:textOutline>
        </w:rPr>
        <w:t xml:space="preserve"> ar atbilstošām diagnostikas metode</w:t>
      </w:r>
      <w:r>
        <w:rPr>
          <w:rFonts w:ascii="Arial Unicode MS" w:hAnsi="Arial Unicode MS"/>
          <w:sz w:val="18"/>
          <w:szCs w:val="18"/>
          <w:u w:color="4D4D4D"/>
          <w14:textOutline w14:w="12700" w14:cap="flat" w14:cmpd="sng" w14:algn="ctr">
            <w14:noFill/>
            <w14:prstDash w14:val="solid"/>
            <w14:miter w14:lim="400000"/>
          </w14:textOutline>
        </w:rPr>
        <w:t>̄</w:t>
      </w:r>
      <w:r>
        <w:rPr>
          <w:sz w:val="18"/>
          <w:szCs w:val="18"/>
          <w:u w:color="4D4D4D"/>
          <w14:textOutline w14:w="12700" w14:cap="flat" w14:cmpd="sng" w14:algn="ctr">
            <w14:noFill/>
            <w14:prstDash w14:val="solid"/>
            <w14:miter w14:lim="400000"/>
          </w14:textOutline>
        </w:rPr>
        <w:t>m dzīvniekam trakumsērga netiek apstiprināta.</w:t>
      </w:r>
      <w:r>
        <w:rPr>
          <w:sz w:val="18"/>
          <w:szCs w:val="18"/>
          <w:u w:color="000000"/>
          <w14:textOutline w14:w="12700" w14:cap="flat" w14:cmpd="sng" w14:algn="ctr">
            <w14:noFill/>
            <w14:prstDash w14:val="solid"/>
            <w14:miter w14:lim="400000"/>
          </w14:textOutline>
        </w:rPr>
        <w:t xml:space="preserve"> Ja dzīvnieks nomirst, tam ir dzīvnieku trakumsērgai raksturīgie simptomi vai dzīvnieka novērošana nav iespējama, PEP jāuzsāk nekavējoši. </w:t>
      </w:r>
    </w:p>
    <w:p w14:paraId="681F8180"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Ja dzīvnieks atbilst aizdomīgam, iespējamam vai apstiprinātam inficētam gadījumam, jāveic retrospektīvs risku novērtējums, nosakot personas, kurām vēl ir bijis kontakts ar konkrēto dzīvnieku - identificētajām personām veic PEP. Kaķi, suņi un mājas seski jāuzskata par infekcioziem 10 dienas pirms klīnisko simptomu parādīšanās un klīnisko izpausmju laikā. Infekciozais periods citiem dzīvniekiem nav precīzi noteikts, tāpēc rekomendē meklēt visas kontaktpersonas 14 dienas pirms simptomu sākuma dzīvniekam.</w:t>
      </w:r>
    </w:p>
    <w:p w14:paraId="1BB80453"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Ja tiek atklāta trakumsērga cilvēkam, jāatrod dzīvnieks, kas personu inficējis, retrospektīvi jāidentificē visas personas, kurām bijis kontakts ar konkrēto dzīvnieku, un visām šīm personām jāveic PEP, neatkarīgi no tā, cik sen šīm personām bijis kontakts ar dzīvnieku. </w:t>
      </w:r>
    </w:p>
    <w:p w14:paraId="7D8AA6D6" w14:textId="77777777" w:rsidR="00137DF8" w:rsidRDefault="0024621C">
      <w:pPr>
        <w:pStyle w:val="Default"/>
        <w:spacing w:after="160" w:line="288" w:lineRule="auto"/>
        <w:jc w:val="center"/>
        <w:outlineLvl w:val="0"/>
        <w:rPr>
          <w:rFonts w:hint="eastAsia"/>
          <w:b/>
          <w:bCs/>
          <w:color w:val="1C3881"/>
          <w:sz w:val="18"/>
          <w:szCs w:val="18"/>
          <w:u w:color="000000"/>
          <w14:textOutline w14:w="12700" w14:cap="flat" w14:cmpd="sng" w14:algn="ctr">
            <w14:noFill/>
            <w14:prstDash w14:val="solid"/>
            <w14:miter w14:lim="400000"/>
          </w14:textOutline>
        </w:rPr>
      </w:pPr>
      <w:r>
        <w:rPr>
          <w:b/>
          <w:bCs/>
          <w:color w:val="1C3881"/>
          <w:sz w:val="18"/>
          <w:szCs w:val="18"/>
          <w:u w:color="000000"/>
          <w14:textOutline w14:w="12700" w14:cap="flat" w14:cmpd="sng" w14:algn="ctr">
            <w14:noFill/>
            <w14:prstDash w14:val="solid"/>
            <w14:miter w14:lim="400000"/>
          </w14:textOutline>
        </w:rPr>
        <w:t xml:space="preserve">PEP netiek rekomendēta personām, kurām iekodis, saskrāpējis vai nolaizījis jebkāds dzīvnieks (izņemot sikspārni!) no trakumsēgas brīvā valstī vai teritorijā - taču katrā individuālā gadījumā nepieciešams risku izvērtējums, ko veic pieredzējis speciālists ar zināšanām par lokālajiem epidemioloģijas datiem.  </w:t>
      </w:r>
    </w:p>
    <w:p w14:paraId="4B2F52E8" w14:textId="77777777" w:rsidR="00137DF8" w:rsidRDefault="0024621C">
      <w:pPr>
        <w:pStyle w:val="Default"/>
        <w:spacing w:after="16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t xml:space="preserve">Atipiska ekspozīcija ar trakumsērgas vīrusu </w:t>
      </w:r>
    </w:p>
    <w:p w14:paraId="718C6F29"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Transmisija no cilvēka uz cilvēku nav apstiprināta, izņemot ar orgānu transplantāciju vai, iespējamu, perinatālo transmisiju. Trakumsērgas vīruss sastopams inficēto personu siekalās, asarās un nervu audos, līdz ar to transmisija ar šiem bioloģiskajiem šķidrumiem un audiem ir iespējama (cilvēka kodums, skūpstīšanās, transmisija ar kontaminētiem priekšmetiem medicīnisko manipulāciju laikā). Nav pieejama informācija par vīrusa transmisiju ar krūts pienu, taču epidemioloģiskie un patofizioloģiskie fakti liecina par to, ka šāda transmisija ir maz iespējama.</w:t>
      </w:r>
    </w:p>
    <w:p w14:paraId="339172C7"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lastRenderedPageBreak/>
        <w:t xml:space="preserve">Cilvēka trakumsērgas gadījumā nepieciešama arī veselības aprūpes personāla un citu personu, kas bijušas kontaktā ar slimo personu, izmeklēšana. </w:t>
      </w:r>
    </w:p>
    <w:p w14:paraId="6DED11EF"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PEP jāapsver personām, kas uzturā lietojušas ar trakumsērgu inficēta dzīvnieka gaļu. Līdzīgi kā netiek rekomendēts lietot ar trakumsērgu inficētu dzīvnieka gaļu, netiek rekomendēta arī šo dzīvnieku piena lietošana uzturā, taču, ja šāds piens ir lietots uzturā, PEP nav indicēta.</w:t>
      </w:r>
    </w:p>
    <w:p w14:paraId="3AD5EF44"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Retos gadījumos iespējama inficēšanās ar trakumsērgu laboratorijas apstākļos, inhalējot vīrusu saturošu aerosolu.</w:t>
      </w:r>
    </w:p>
    <w:p w14:paraId="3C48DDD8"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Shēma Nr. 2. Dzīvnieka, ar kuru bijis kontakts, izvērtējums</w:t>
      </w:r>
    </w:p>
    <w:p w14:paraId="52736EA6" w14:textId="77777777" w:rsidR="00137DF8" w:rsidRDefault="000E6321">
      <w:pPr>
        <w:spacing w:after="160" w:line="288" w:lineRule="auto"/>
        <w:jc w:val="center"/>
        <w:rPr>
          <w:rFonts w:ascii="Graphik" w:eastAsia="Graphik" w:hAnsi="Graphik" w:cs="Graphik"/>
          <w:b/>
          <w:bCs/>
          <w:color w:val="000000"/>
          <w:sz w:val="18"/>
          <w:szCs w:val="18"/>
          <w:u w:color="000000"/>
          <w14:textOutline w14:w="12700" w14:cap="flat" w14:cmpd="sng" w14:algn="ctr">
            <w14:noFill/>
            <w14:prstDash w14:val="solid"/>
            <w14:miter w14:lim="400000"/>
          </w14:textOutline>
        </w:rPr>
      </w:pPr>
      <w:r>
        <w:rPr>
          <w:b/>
          <w:bCs/>
          <w:noProof/>
          <w:sz w:val="18"/>
          <w:szCs w:val="18"/>
          <w:u w:color="000000"/>
          <w:lang w:val="lv-LV" w:eastAsia="lv-LV"/>
          <w14:textOutline w14:w="12700" w14:cap="flat" w14:cmpd="sng" w14:algn="ctr">
            <w14:noFill/>
            <w14:prstDash w14:val="solid"/>
            <w14:miter w14:lim="400000"/>
          </w14:textOutline>
        </w:rPr>
        <w:drawing>
          <wp:anchor distT="152400" distB="152400" distL="152400" distR="152400" simplePos="0" relativeHeight="251662336" behindDoc="0" locked="0" layoutInCell="1" allowOverlap="1" wp14:anchorId="6E16408A" wp14:editId="66B6D7B4">
            <wp:simplePos x="0" y="0"/>
            <wp:positionH relativeFrom="margin">
              <wp:posOffset>383457</wp:posOffset>
            </wp:positionH>
            <wp:positionV relativeFrom="line">
              <wp:posOffset>59028</wp:posOffset>
            </wp:positionV>
            <wp:extent cx="5309821" cy="1480623"/>
            <wp:effectExtent l="0" t="0" r="0" b="0"/>
            <wp:wrapThrough wrapText="bothSides" distL="152400" distR="152400">
              <wp:wrapPolygon edited="1">
                <wp:start x="0" y="0"/>
                <wp:lineTo x="21621" y="0"/>
                <wp:lineTo x="21621" y="21635"/>
                <wp:lineTo x="0" y="21635"/>
                <wp:lineTo x="0" y="0"/>
              </wp:wrapPolygon>
            </wp:wrapThrough>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18"/>
                    <a:stretch>
                      <a:fillRect/>
                    </a:stretch>
                  </pic:blipFill>
                  <pic:spPr>
                    <a:xfrm>
                      <a:off x="0" y="0"/>
                      <a:ext cx="5309821" cy="1480623"/>
                    </a:xfrm>
                    <a:prstGeom prst="rect">
                      <a:avLst/>
                    </a:prstGeom>
                    <a:ln w="12700" cap="flat">
                      <a:noFill/>
                      <a:miter lim="400000"/>
                    </a:ln>
                    <a:effectLst/>
                  </pic:spPr>
                </pic:pic>
              </a:graphicData>
            </a:graphic>
          </wp:anchor>
        </w:drawing>
      </w:r>
    </w:p>
    <w:p w14:paraId="3168C593" w14:textId="77777777" w:rsidR="00137DF8" w:rsidRDefault="00137DF8">
      <w:pPr>
        <w:spacing w:after="160" w:line="288" w:lineRule="auto"/>
        <w:jc w:val="center"/>
        <w:rPr>
          <w:rFonts w:ascii="Graphik" w:eastAsia="Graphik" w:hAnsi="Graphik" w:cs="Graphik"/>
          <w:b/>
          <w:bCs/>
          <w:color w:val="000000"/>
          <w:sz w:val="18"/>
          <w:szCs w:val="18"/>
          <w:u w:color="000000"/>
          <w14:textOutline w14:w="12700" w14:cap="flat" w14:cmpd="sng" w14:algn="ctr">
            <w14:noFill/>
            <w14:prstDash w14:val="solid"/>
            <w14:miter w14:lim="400000"/>
          </w14:textOutline>
        </w:rPr>
      </w:pPr>
    </w:p>
    <w:p w14:paraId="1B706821" w14:textId="77777777" w:rsidR="00137DF8" w:rsidRDefault="00137DF8">
      <w:pPr>
        <w:spacing w:after="160" w:line="288" w:lineRule="auto"/>
        <w:jc w:val="center"/>
        <w:rPr>
          <w:rFonts w:ascii="Graphik" w:eastAsia="Graphik" w:hAnsi="Graphik" w:cs="Graphik"/>
          <w:b/>
          <w:bCs/>
          <w:color w:val="000000"/>
          <w:sz w:val="18"/>
          <w:szCs w:val="18"/>
          <w:u w:color="000000"/>
          <w14:textOutline w14:w="12700" w14:cap="flat" w14:cmpd="sng" w14:algn="ctr">
            <w14:noFill/>
            <w14:prstDash w14:val="solid"/>
            <w14:miter w14:lim="400000"/>
          </w14:textOutline>
        </w:rPr>
      </w:pPr>
    </w:p>
    <w:p w14:paraId="425777A8" w14:textId="77777777" w:rsidR="00137DF8" w:rsidRDefault="00137DF8">
      <w:pPr>
        <w:spacing w:after="160" w:line="288" w:lineRule="auto"/>
        <w:jc w:val="center"/>
        <w:rPr>
          <w:rFonts w:ascii="Graphik" w:eastAsia="Graphik" w:hAnsi="Graphik" w:cs="Graphik"/>
          <w:b/>
          <w:bCs/>
          <w:color w:val="000000"/>
          <w:sz w:val="18"/>
          <w:szCs w:val="18"/>
          <w:u w:color="000000"/>
          <w14:textOutline w14:w="12700" w14:cap="flat" w14:cmpd="sng" w14:algn="ctr">
            <w14:noFill/>
            <w14:prstDash w14:val="solid"/>
            <w14:miter w14:lim="400000"/>
          </w14:textOutline>
        </w:rPr>
      </w:pPr>
    </w:p>
    <w:p w14:paraId="30962E51" w14:textId="77777777" w:rsidR="00137DF8" w:rsidRDefault="0024621C" w:rsidP="0049203F">
      <w:pPr>
        <w:spacing w:after="160" w:line="288" w:lineRule="auto"/>
        <w:jc w:val="center"/>
        <w:rPr>
          <w:rFonts w:ascii="Graphik" w:eastAsia="Graphik" w:hAnsi="Graphik" w:cs="Graphik"/>
          <w:b/>
          <w:bCs/>
          <w:color w:val="000000"/>
          <w:sz w:val="18"/>
          <w:szCs w:val="18"/>
          <w:u w:color="000000"/>
          <w14:textOutline w14:w="12700" w14:cap="flat" w14:cmpd="sng" w14:algn="ctr">
            <w14:noFill/>
            <w14:prstDash w14:val="solid"/>
            <w14:miter w14:lim="400000"/>
          </w14:textOutline>
        </w:rPr>
      </w:pPr>
      <w:r>
        <w:rPr>
          <w:rFonts w:ascii="Graphik" w:eastAsia="Graphik" w:hAnsi="Graphik" w:cs="Graphik"/>
          <w:b/>
          <w:bCs/>
          <w:noProof/>
          <w:color w:val="000000"/>
          <w:sz w:val="18"/>
          <w:szCs w:val="18"/>
          <w:u w:color="000000"/>
          <w:lang w:val="lv-LV" w:eastAsia="lv-LV"/>
          <w14:textOutline w14:w="12700" w14:cap="flat" w14:cmpd="sng" w14:algn="ctr">
            <w14:noFill/>
            <w14:prstDash w14:val="solid"/>
            <w14:miter w14:lim="400000"/>
          </w14:textOutline>
        </w:rPr>
        <w:drawing>
          <wp:anchor distT="152400" distB="152400" distL="152400" distR="152400" simplePos="0" relativeHeight="251671552" behindDoc="0" locked="0" layoutInCell="1" allowOverlap="1" wp14:anchorId="0F7E120C" wp14:editId="72872149">
            <wp:simplePos x="0" y="0"/>
            <wp:positionH relativeFrom="margin">
              <wp:posOffset>6903</wp:posOffset>
            </wp:positionH>
            <wp:positionV relativeFrom="line">
              <wp:posOffset>461562</wp:posOffset>
            </wp:positionV>
            <wp:extent cx="6062708" cy="1594445"/>
            <wp:effectExtent l="0" t="0" r="0" b="0"/>
            <wp:wrapThrough wrapText="bothSides" distL="152400" distR="152400">
              <wp:wrapPolygon edited="1">
                <wp:start x="0" y="0"/>
                <wp:lineTo x="21600" y="0"/>
                <wp:lineTo x="21600" y="21656"/>
                <wp:lineTo x="0" y="21656"/>
                <wp:lineTo x="0" y="0"/>
              </wp:wrapPolygon>
            </wp:wrapThrough>
            <wp:docPr id="1073741831" name="officeArt object" descr="Image"/>
            <wp:cNvGraphicFramePr/>
            <a:graphic xmlns:a="http://schemas.openxmlformats.org/drawingml/2006/main">
              <a:graphicData uri="http://schemas.openxmlformats.org/drawingml/2006/picture">
                <pic:pic xmlns:pic="http://schemas.openxmlformats.org/drawingml/2006/picture">
                  <pic:nvPicPr>
                    <pic:cNvPr id="1073741831" name="Image" descr="Image"/>
                    <pic:cNvPicPr>
                      <a:picLocks noChangeAspect="1"/>
                    </pic:cNvPicPr>
                  </pic:nvPicPr>
                  <pic:blipFill>
                    <a:blip r:embed="rId19"/>
                    <a:stretch>
                      <a:fillRect/>
                    </a:stretch>
                  </pic:blipFill>
                  <pic:spPr>
                    <a:xfrm>
                      <a:off x="0" y="0"/>
                      <a:ext cx="6062708" cy="1594445"/>
                    </a:xfrm>
                    <a:prstGeom prst="rect">
                      <a:avLst/>
                    </a:prstGeom>
                    <a:ln w="12700" cap="flat">
                      <a:noFill/>
                      <a:miter lim="400000"/>
                    </a:ln>
                    <a:effectLst/>
                  </pic:spPr>
                </pic:pic>
              </a:graphicData>
            </a:graphic>
          </wp:anchor>
        </w:drawing>
      </w:r>
    </w:p>
    <w:p w14:paraId="0C7B9B71" w14:textId="77777777" w:rsidR="00137DF8" w:rsidRDefault="0024621C">
      <w:pPr>
        <w:spacing w:after="160" w:line="288" w:lineRule="auto"/>
        <w:jc w:val="center"/>
        <w:rPr>
          <w:rFonts w:ascii="Graphik" w:eastAsia="Graphik" w:hAnsi="Graphik" w:cs="Graphik"/>
          <w:b/>
          <w:bCs/>
          <w:color w:val="1C3780"/>
          <w:sz w:val="18"/>
          <w:szCs w:val="18"/>
          <w:u w:color="008CB4"/>
          <w14:textOutline w14:w="12700" w14:cap="flat" w14:cmpd="sng" w14:algn="ctr">
            <w14:noFill/>
            <w14:prstDash w14:val="solid"/>
            <w14:miter w14:lim="400000"/>
          </w14:textOutline>
        </w:rPr>
      </w:pPr>
      <w:r>
        <w:rPr>
          <w:rFonts w:ascii="Graphik" w:hAnsi="Graphik" w:cs="Arial Unicode MS"/>
          <w:b/>
          <w:bCs/>
          <w:color w:val="1C3780"/>
          <w:sz w:val="18"/>
          <w:szCs w:val="18"/>
          <w:u w:color="008CB4"/>
          <w14:textOutline w14:w="12700" w14:cap="flat" w14:cmpd="sng" w14:algn="ctr">
            <w14:noFill/>
            <w14:prstDash w14:val="solid"/>
            <w14:miter w14:lim="400000"/>
          </w14:textOutline>
        </w:rPr>
        <w:t>Neprovocētie kodieni ir ar lielāku risku nekā provocētie!</w:t>
      </w:r>
    </w:p>
    <w:p w14:paraId="7D06F27F" w14:textId="77777777" w:rsidR="00137DF8" w:rsidRDefault="0024621C">
      <w:pPr>
        <w:spacing w:after="160" w:line="288" w:lineRule="auto"/>
        <w:jc w:val="center"/>
        <w:rPr>
          <w:rFonts w:ascii="Graphik" w:eastAsia="Graphik" w:hAnsi="Graphik" w:cs="Graphik"/>
          <w:b/>
          <w:bCs/>
          <w:color w:val="FC6861"/>
          <w:sz w:val="18"/>
          <w:szCs w:val="18"/>
          <w:u w:color="FC6861"/>
          <w14:textOutline w14:w="12700" w14:cap="flat" w14:cmpd="sng" w14:algn="ctr">
            <w14:noFill/>
            <w14:prstDash w14:val="solid"/>
            <w14:miter w14:lim="400000"/>
          </w14:textOutline>
        </w:rPr>
      </w:pPr>
      <w:r>
        <w:rPr>
          <w:rFonts w:ascii="Graphik" w:hAnsi="Graphik" w:cs="Arial Unicode MS"/>
          <w:b/>
          <w:bCs/>
          <w:color w:val="1C3780"/>
          <w:sz w:val="18"/>
          <w:szCs w:val="18"/>
          <w:u w:color="FC6861"/>
          <w14:textOutline w14:w="12700" w14:cap="flat" w14:cmpd="sng" w14:algn="ctr">
            <w14:noFill/>
            <w14:prstDash w14:val="solid"/>
            <w14:miter w14:lim="400000"/>
          </w14:textOutline>
        </w:rPr>
        <w:t>Savvaļas dzīvnieki (zīdītāji), kas uzvedas tiem neraksturīgi, ar vislielāko varbūtību ir inficēti ar trakumsērgu.</w:t>
      </w:r>
    </w:p>
    <w:p w14:paraId="0E91F809"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FC6861"/>
          <w14:textOutline w14:w="12700" w14:cap="flat" w14:cmpd="sng" w14:algn="ctr">
            <w14:noFill/>
            <w14:prstDash w14:val="solid"/>
            <w14:miter w14:lim="400000"/>
          </w14:textOutline>
        </w:rPr>
        <w:t>Pasākumi, kas veicami, ja ir aizdomas par dzīvnieka saslimšanu ar trakumsērgu ir noteikti Ministru kabineta noteikumos Nr. 178 “</w:t>
      </w:r>
      <w:r>
        <w:rPr>
          <w:sz w:val="18"/>
          <w:szCs w:val="18"/>
          <w:u w:color="000000"/>
          <w14:textOutline w14:w="12700" w14:cap="flat" w14:cmpd="sng" w14:algn="ctr">
            <w14:noFill/>
            <w14:prstDash w14:val="solid"/>
            <w14:miter w14:lim="400000"/>
          </w14:textOutline>
        </w:rPr>
        <w:t>Trakumsērgas profilakses un apkarošanas kārtība” Atbilstoši MK noteikumu Nr. 178 5. punktam:</w:t>
      </w:r>
    </w:p>
    <w:p w14:paraId="10E53B87"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“Ja radušās aizdomas par dzīvnieka saslimšanu vai inficēšanos ar trakumsērgu, laboratoriskos izmeklējumus trakumsērgas diagnozes noteikšanai veic valsts zinātniskais institūts "Pārtikas drošības, dzīvnieku veselības un vides zinātniskais institūts "BIOR"" (turpmāk – zinātniskais institūts).</w:t>
      </w:r>
    </w:p>
    <w:p w14:paraId="45295DBE"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Aizdomas par dzīvnieka inficēšanos ar trakumsērgu, ja:</w:t>
      </w:r>
    </w:p>
    <w:p w14:paraId="5EFE2899" w14:textId="77777777" w:rsidR="00137DF8" w:rsidRDefault="0024621C" w:rsidP="002C6203">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dzīvnieks ir bijis kontaktā ar trakumsērgu slimu dzīvnieku vai ir aizdomas par to (izņemot gadījumu, ja dzīvnieks, kas vakcinēts pret trakumsērgu Veterinārmedicīnas likumā noteiktajā kārtībā, minētajā kontaktā nonācis medību laikā),</w:t>
      </w:r>
      <w:r>
        <w:rPr>
          <w:sz w:val="18"/>
          <w:szCs w:val="18"/>
          <w:u w:color="000000"/>
          <w14:textOutline w14:w="12700" w14:cap="flat" w14:cmpd="sng" w14:algn="ctr">
            <w14:noFill/>
            <w14:prstDash w14:val="solid"/>
            <w14:miter w14:lim="400000"/>
          </w14:textOutline>
        </w:rPr>
        <w:br/>
        <w:t>- pastāv iespēja, ka dzīvnieks ir sakosts vai apsiekalots vai dzīvnieka gļotāda vai bojāta āda ir bijusi kontaktā ar iespējamu trakumsērgas avotu (piemēram, cita dzīvnieka siekalām, nervu audiem) (izņemot gadījumu, ja dzīvnieks, kas vakcinēts pret trakumsērgu Veterinārmedicīnas likumā noteiktajā kārtībā, minētajā kontaktā nonācis medību laikā).</w:t>
      </w:r>
    </w:p>
    <w:p w14:paraId="576868F8"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Aizdomas par dzīvnieka saslimšanu ar trakumsērgu, ja:</w:t>
      </w:r>
    </w:p>
    <w:p w14:paraId="5B8FE7CE" w14:textId="77777777" w:rsidR="00137DF8" w:rsidRDefault="0024621C" w:rsidP="002C6203">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dzīvniekam novēro siekalošanos, izmaiņas apetītē, apgrūtinātu barības un ūdens uzņemšanu, sugai neraksturīgas pārmaiņas uzvedībā vai neraksturīgu izturēšanos attiecībā pret cilvēku vai dzīvnieku,</w:t>
      </w:r>
      <w:r>
        <w:rPr>
          <w:sz w:val="18"/>
          <w:szCs w:val="18"/>
          <w:u w:color="000000"/>
          <w14:textOutline w14:w="12700" w14:cap="flat" w14:cmpd="sng" w14:algn="ctr">
            <w14:noFill/>
            <w14:prstDash w14:val="solid"/>
            <w14:miter w14:lim="400000"/>
          </w14:textOutline>
        </w:rPr>
        <w:br/>
        <w:t>- dzīvnieks ir sakodis, saskrāpējis, apsiekalojis citu dzīvnieku vai cilvēku vai uzbrucis tam,</w:t>
      </w:r>
      <w:r>
        <w:rPr>
          <w:sz w:val="18"/>
          <w:szCs w:val="18"/>
          <w:u w:color="000000"/>
          <w14:textOutline w14:w="12700" w14:cap="flat" w14:cmpd="sng" w14:algn="ctr">
            <w14:noFill/>
            <w14:prstDash w14:val="solid"/>
            <w14:miter w14:lim="400000"/>
          </w14:textOutline>
        </w:rPr>
        <w:br/>
        <w:t xml:space="preserve">- savvaļas dzīvnieks atrodas cilvēka apdzīvotā teritorijā vai personas īpašumā (valdījumā) un savvaļas dzīvniekam novēro sugai neraksturīgas pārmaiņas uzvedībā.” </w:t>
      </w:r>
    </w:p>
    <w:p w14:paraId="3ABCB163"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lastRenderedPageBreak/>
        <w:t>Atbilstoši Ministru kabienta 1999.gada 5.janvāra noteikumiem Nr. 7 “Infekcijas slimību reģistrācijas kārtība”, trakusmērga atbilst reģistrējamo infekcijas slimību 1. grupai, kas nozīmē, ka pamatotu aizdomu gadījumā par to nekavējoties jāziņo jebkurā diennakts laikā telefoniski un rakstiski Slimību profilakses un kontroles centram, nosūtot aizpildītu steidzamā paziņojuma veidlapu pa faksu, pa pastu, ar kurjeru vai elektroniski, un par ziņošanas faktu izdara ierakstu pacienta medicīniskajā dokumentācijā. 3 darba dienu laikā jānosūta steidzamais paziņojums, ja tas ir paziņojums par infekcijas slimības diagnozes maiņu vai atcelšanu vai infekcijas slimības galīgo diagnozi, tās laboratorisku apstiprināšanu un slimības iznākumu.</w:t>
      </w:r>
    </w:p>
    <w:p w14:paraId="73EDFDDA"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0C307AB3"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5. Pēcekspozīcijas profilakse</w:t>
      </w:r>
    </w:p>
    <w:p w14:paraId="3ADFEB16" w14:textId="77777777" w:rsidR="00137DF8" w:rsidRDefault="0024621C">
      <w:pPr>
        <w:pStyle w:val="Default"/>
        <w:spacing w:after="160" w:line="288" w:lineRule="auto"/>
        <w:jc w:val="center"/>
        <w:outlineLvl w:val="0"/>
        <w:rPr>
          <w:rFonts w:hint="eastAsia"/>
          <w:b/>
          <w:bCs/>
          <w:sz w:val="18"/>
          <w:szCs w:val="18"/>
          <w:u w:color="000000"/>
          <w14:textOutline w14:w="12700" w14:cap="flat" w14:cmpd="sng" w14:algn="ctr">
            <w14:noFill/>
            <w14:prstDash w14:val="solid"/>
            <w14:miter w14:lim="400000"/>
          </w14:textOutline>
        </w:rPr>
      </w:pPr>
      <w:r>
        <w:rPr>
          <w:b/>
          <w:bCs/>
          <w:color w:val="1C3881"/>
          <w:sz w:val="18"/>
          <w:szCs w:val="18"/>
          <w:u w:color="000000"/>
          <w14:textOutline w14:w="12700" w14:cap="flat" w14:cmpd="sng" w14:algn="ctr">
            <w14:noFill/>
            <w14:prstDash w14:val="solid"/>
            <w14:miter w14:lim="400000"/>
          </w14:textOutline>
        </w:rPr>
        <w:t>Personām, kas atbilst PVO II un III ekspozīcijas kategorijai, PEP jāsaņem kā neatliekama procedūra!</w:t>
      </w:r>
    </w:p>
    <w:p w14:paraId="3B4A7E77" w14:textId="77777777" w:rsidR="00137DF8" w:rsidRDefault="0024621C" w:rsidP="002C6203">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PEP sastāv no sekojošām darbībām:</w:t>
      </w:r>
      <w:r>
        <w:rPr>
          <w:sz w:val="18"/>
          <w:szCs w:val="18"/>
          <w:u w:color="000000"/>
          <w14:textOutline w14:w="12700" w14:cap="flat" w14:cmpd="sng" w14:algn="ctr">
            <w14:noFill/>
            <w14:prstDash w14:val="solid"/>
            <w14:miter w14:lim="400000"/>
          </w14:textOutline>
        </w:rPr>
        <w:br/>
        <w:t>1.</w:t>
      </w:r>
      <w:r>
        <w:rPr>
          <w:sz w:val="18"/>
          <w:szCs w:val="18"/>
          <w:u w:color="FF0000"/>
          <w14:textOutline w14:w="12700" w14:cap="flat" w14:cmpd="sng" w14:algn="ctr">
            <w14:noFill/>
            <w14:prstDash w14:val="solid"/>
            <w14:miter w14:lim="400000"/>
          </w14:textOutline>
        </w:rPr>
        <w:t xml:space="preserve"> </w:t>
      </w:r>
      <w:r>
        <w:rPr>
          <w:b/>
          <w:bCs/>
          <w:color w:val="5E5E5E"/>
          <w:sz w:val="18"/>
          <w:szCs w:val="18"/>
          <w:u w:color="FF0000"/>
          <w14:textOutline w14:w="12700" w14:cap="flat" w14:cmpd="sng" w14:algn="ctr">
            <w14:noFill/>
            <w14:prstDash w14:val="solid"/>
            <w14:miter w14:lim="400000"/>
          </w14:textOutline>
        </w:rPr>
        <w:t>Brūču apskate un izvērtēšana</w:t>
      </w:r>
      <w:r>
        <w:rPr>
          <w:sz w:val="18"/>
          <w:szCs w:val="18"/>
          <w:u w:color="FF0000"/>
          <w14:textOutline w14:w="12700" w14:cap="flat" w14:cmpd="sng" w14:algn="ctr">
            <w14:noFill/>
            <w14:prstDash w14:val="solid"/>
            <w14:miter w14:lim="400000"/>
          </w14:textOutline>
        </w:rPr>
        <w:t xml:space="preserve">; pēc iespējas ātrāk jāuzsāk </w:t>
      </w:r>
      <w:r>
        <w:rPr>
          <w:sz w:val="18"/>
          <w:szCs w:val="18"/>
          <w:u w:color="000000"/>
          <w14:textOutline w14:w="12700" w14:cap="flat" w14:cmpd="sng" w14:algn="ctr">
            <w14:noFill/>
            <w14:prstDash w14:val="solid"/>
            <w14:miter w14:lim="400000"/>
          </w14:textOutline>
        </w:rPr>
        <w:t>aptuveni 15 minūšu ilga brūces mazgāšana un skalošana ar ziepēm un lielu daudzumu ūdens. Kad pieejams, brūci apstrādāt ar povidonjoda saturošu vai citu virucīdas iedarbības dezinfektantu.</w:t>
      </w:r>
      <w:r>
        <w:rPr>
          <w:sz w:val="18"/>
          <w:szCs w:val="18"/>
          <w:u w:color="000000"/>
          <w14:textOutline w14:w="12700" w14:cap="flat" w14:cmpd="sng" w14:algn="ctr">
            <w14:noFill/>
            <w14:prstDash w14:val="solid"/>
            <w14:miter w14:lim="400000"/>
          </w14:textOutline>
        </w:rPr>
        <w:br/>
        <w:t>2.</w:t>
      </w:r>
      <w:r>
        <w:rPr>
          <w:sz w:val="18"/>
          <w:szCs w:val="18"/>
          <w:u w:color="FF0000"/>
          <w14:textOutline w14:w="12700" w14:cap="flat" w14:cmpd="sng" w14:algn="ctr">
            <w14:noFill/>
            <w14:prstDash w14:val="solid"/>
            <w14:miter w14:lim="400000"/>
          </w14:textOutline>
        </w:rPr>
        <w:t xml:space="preserve"> </w:t>
      </w:r>
      <w:r>
        <w:rPr>
          <w:b/>
          <w:bCs/>
          <w:color w:val="5E5E5E"/>
          <w:sz w:val="18"/>
          <w:szCs w:val="18"/>
          <w:u w:color="000000"/>
          <w14:textOutline w14:w="12700" w14:cap="flat" w14:cmpd="sng" w14:algn="ctr">
            <w14:noFill/>
            <w14:prstDash w14:val="solid"/>
            <w14:miter w14:lim="400000"/>
          </w14:textOutline>
        </w:rPr>
        <w:t>RIG ievade atbilstoši ekpozīcijas kategorijai</w:t>
      </w:r>
      <w:r>
        <w:rPr>
          <w:sz w:val="18"/>
          <w:szCs w:val="18"/>
          <w:u w:color="000000"/>
          <w14:textOutline w14:w="12700" w14:cap="flat" w14:cmpd="sng" w14:algn="ctr">
            <w14:noFill/>
            <w14:prstDash w14:val="solid"/>
            <w14:miter w14:lim="400000"/>
          </w14:textOutline>
        </w:rPr>
        <w:t xml:space="preserve"> (shēma Nr. 3 un Nr. 4), personas imunizācijas statusam (iepriekš imunizēts, nav iepriekš imunizēts), kā arī personas imūnās sistēmas stāvoklim (imūnkompetenta vai imūnkompromitēta persona; imūnsupresijas pakāpe). Izvērtēt stingumkrampju profilakses nepieciešamību!</w:t>
      </w:r>
      <w:r>
        <w:rPr>
          <w:sz w:val="18"/>
          <w:szCs w:val="18"/>
          <w:u w:color="000000"/>
          <w14:textOutline w14:w="12700" w14:cap="flat" w14:cmpd="sng" w14:algn="ctr">
            <w14:noFill/>
            <w14:prstDash w14:val="solid"/>
            <w14:miter w14:lim="400000"/>
          </w14:textOutline>
        </w:rPr>
        <w:br/>
      </w:r>
      <w:r>
        <w:rPr>
          <w:sz w:val="18"/>
          <w:szCs w:val="18"/>
          <w:u w:color="FF0000"/>
          <w14:textOutline w14:w="12700" w14:cap="flat" w14:cmpd="sng" w14:algn="ctr">
            <w14:noFill/>
            <w14:prstDash w14:val="solid"/>
            <w14:miter w14:lim="400000"/>
          </w14:textOutline>
        </w:rPr>
        <w:t>3.</w:t>
      </w:r>
      <w:r>
        <w:rPr>
          <w:sz w:val="18"/>
          <w:szCs w:val="18"/>
          <w:u w:color="000000"/>
          <w14:textOutline w14:w="12700" w14:cap="flat" w14:cmpd="sng" w14:algn="ctr">
            <w14:noFill/>
            <w14:prstDash w14:val="solid"/>
            <w14:miter w14:lim="400000"/>
          </w14:textOutline>
        </w:rPr>
        <w:t xml:space="preserve"> Atbilstoši PVO rekomendācijām veicama </w:t>
      </w:r>
      <w:r>
        <w:rPr>
          <w:b/>
          <w:bCs/>
          <w:color w:val="5E5E5E"/>
          <w:sz w:val="18"/>
          <w:szCs w:val="18"/>
          <w:u w:color="000000"/>
          <w14:textOutline w14:w="12700" w14:cap="flat" w14:cmpd="sng" w14:algn="ctr">
            <w14:noFill/>
            <w14:prstDash w14:val="solid"/>
            <w14:miter w14:lim="400000"/>
          </w14:textOutline>
        </w:rPr>
        <w:t>vakcinācija</w:t>
      </w:r>
      <w:r>
        <w:rPr>
          <w:sz w:val="18"/>
          <w:szCs w:val="18"/>
          <w:u w:color="000000"/>
          <w14:textOutline w14:w="12700" w14:cap="flat" w14:cmpd="sng" w14:algn="ctr">
            <w14:noFill/>
            <w14:prstDash w14:val="solid"/>
            <w14:miter w14:lim="400000"/>
          </w14:textOutline>
        </w:rPr>
        <w:t xml:space="preserve"> (shēma Nr. 3 un Nr. 4).</w:t>
      </w:r>
      <w:r>
        <w:rPr>
          <w:sz w:val="18"/>
          <w:szCs w:val="18"/>
          <w:u w:color="000000"/>
          <w14:textOutline w14:w="12700" w14:cap="flat" w14:cmpd="sng" w14:algn="ctr">
            <w14:noFill/>
            <w14:prstDash w14:val="solid"/>
            <w14:miter w14:lim="400000"/>
          </w14:textOutline>
        </w:rPr>
        <w:br/>
      </w:r>
    </w:p>
    <w:p w14:paraId="33E25C0B" w14:textId="77777777" w:rsidR="00137DF8" w:rsidRDefault="0024621C">
      <w:pPr>
        <w:spacing w:after="160" w:line="288" w:lineRule="auto"/>
        <w:jc w:val="center"/>
        <w:rPr>
          <w:rFonts w:ascii="Graphik" w:eastAsia="Graphik" w:hAnsi="Graphik" w:cs="Graphik"/>
          <w:b/>
          <w:bCs/>
          <w:color w:val="1C3780"/>
          <w:sz w:val="22"/>
          <w:szCs w:val="22"/>
          <w:u w:color="008CB4"/>
          <w14:textOutline w14:w="12700" w14:cap="flat" w14:cmpd="sng" w14:algn="ctr">
            <w14:noFill/>
            <w14:prstDash w14:val="solid"/>
            <w14:miter w14:lim="400000"/>
          </w14:textOutline>
        </w:rPr>
      </w:pPr>
      <w:r>
        <w:rPr>
          <w:rFonts w:ascii="Graphik" w:hAnsi="Graphik" w:cs="Arial Unicode MS"/>
          <w:b/>
          <w:bCs/>
          <w:color w:val="1C3780"/>
          <w:sz w:val="22"/>
          <w:szCs w:val="22"/>
          <w:u w:color="008CB4"/>
          <w14:textOutline w14:w="12700" w14:cap="flat" w14:cmpd="sng" w14:algn="ctr">
            <w14:noFill/>
            <w14:prstDash w14:val="solid"/>
            <w14:miter w14:lim="400000"/>
          </w14:textOutline>
        </w:rPr>
        <w:t>Standarta PEP shēmas:</w:t>
      </w:r>
      <w:r>
        <w:rPr>
          <w:rFonts w:ascii="Graphik" w:eastAsia="Graphik" w:hAnsi="Graphik" w:cs="Graphik"/>
          <w:b/>
          <w:bCs/>
          <w:color w:val="1C3780"/>
          <w:sz w:val="22"/>
          <w:szCs w:val="22"/>
          <w:u w:color="008CB4"/>
          <w14:textOutline w14:w="12700" w14:cap="flat" w14:cmpd="sng" w14:algn="ctr">
            <w14:noFill/>
            <w14:prstDash w14:val="solid"/>
            <w14:miter w14:lim="400000"/>
          </w14:textOutline>
        </w:rPr>
        <w:br/>
      </w:r>
      <w:r>
        <w:rPr>
          <w:rFonts w:ascii="Graphik" w:hAnsi="Graphik" w:cs="Arial Unicode MS"/>
          <w:b/>
          <w:bCs/>
          <w:color w:val="1C3780"/>
          <w:sz w:val="22"/>
          <w:szCs w:val="22"/>
          <w:u w:color="008CB4"/>
          <w14:textOutline w14:w="12700" w14:cap="flat" w14:cmpd="sng" w14:algn="ctr">
            <w14:noFill/>
            <w14:prstDash w14:val="solid"/>
            <w14:miter w14:lim="400000"/>
          </w14:textOutline>
        </w:rPr>
        <w:t>- 4 devas 0., 3., 7. un 14. dienā IM (imūnkompetentām personām)</w:t>
      </w:r>
      <w:r>
        <w:rPr>
          <w:rFonts w:ascii="Graphik" w:eastAsia="Graphik" w:hAnsi="Graphik" w:cs="Graphik"/>
          <w:b/>
          <w:bCs/>
          <w:color w:val="1C3780"/>
          <w:sz w:val="22"/>
          <w:szCs w:val="22"/>
          <w:u w:color="008CB4"/>
          <w14:textOutline w14:w="12700" w14:cap="flat" w14:cmpd="sng" w14:algn="ctr">
            <w14:noFill/>
            <w14:prstDash w14:val="solid"/>
            <w14:miter w14:lim="400000"/>
          </w14:textOutline>
        </w:rPr>
        <w:br/>
      </w:r>
      <w:r>
        <w:rPr>
          <w:rFonts w:ascii="Graphik" w:hAnsi="Graphik" w:cs="Arial Unicode MS"/>
          <w:b/>
          <w:bCs/>
          <w:color w:val="1C3780"/>
          <w:sz w:val="22"/>
          <w:szCs w:val="22"/>
          <w:u w:color="008CB4"/>
          <w14:textOutline w14:w="12700" w14:cap="flat" w14:cmpd="sng" w14:algn="ctr">
            <w14:noFill/>
            <w14:prstDash w14:val="solid"/>
            <w14:miter w14:lim="400000"/>
          </w14:textOutline>
        </w:rPr>
        <w:t>- 5 devas 0., 3., 7., 14. un 28. dienā IM (imūnkompromitētām personām).</w:t>
      </w:r>
    </w:p>
    <w:p w14:paraId="0DF1F069" w14:textId="77777777" w:rsidR="00137DF8" w:rsidRDefault="00137DF8">
      <w:pPr>
        <w:spacing w:after="160" w:line="288" w:lineRule="auto"/>
        <w:rPr>
          <w:rFonts w:ascii="Graphik" w:eastAsia="Graphik" w:hAnsi="Graphik" w:cs="Graphik"/>
          <w:b/>
          <w:bCs/>
          <w:color w:val="000000"/>
          <w:sz w:val="18"/>
          <w:szCs w:val="18"/>
          <w:u w:color="008CB4"/>
          <w14:textOutline w14:w="12700" w14:cap="flat" w14:cmpd="sng" w14:algn="ctr">
            <w14:noFill/>
            <w14:prstDash w14:val="solid"/>
            <w14:miter w14:lim="400000"/>
          </w14:textOutline>
        </w:rPr>
      </w:pPr>
    </w:p>
    <w:p w14:paraId="15A09A87" w14:textId="77777777" w:rsidR="00137DF8" w:rsidRDefault="0024621C">
      <w:pPr>
        <w:spacing w:after="160" w:line="288" w:lineRule="auto"/>
        <w:rPr>
          <w:rFonts w:ascii="Graphik" w:eastAsia="Graphik" w:hAnsi="Graphik" w:cs="Graphik"/>
          <w:b/>
          <w:bCs/>
          <w:color w:val="000000"/>
          <w:sz w:val="18"/>
          <w:szCs w:val="18"/>
          <w:u w:color="FC6861"/>
          <w14:textOutline w14:w="12700" w14:cap="flat" w14:cmpd="sng" w14:algn="ctr">
            <w14:noFill/>
            <w14:prstDash w14:val="solid"/>
            <w14:miter w14:lim="400000"/>
          </w14:textOutline>
        </w:rPr>
      </w:pPr>
      <w:r>
        <w:rPr>
          <w:rFonts w:ascii="Graphik" w:hAnsi="Graphik" w:cs="Arial Unicode MS"/>
          <w:b/>
          <w:bCs/>
          <w:color w:val="000000"/>
          <w:sz w:val="18"/>
          <w:szCs w:val="18"/>
          <w:u w:color="FC6861"/>
          <w14:textOutline w14:w="12700" w14:cap="flat" w14:cmpd="sng" w14:algn="ctr">
            <w14:noFill/>
            <w14:prstDash w14:val="solid"/>
            <w14:miter w14:lim="400000"/>
          </w14:textOutline>
        </w:rPr>
        <w:t>6. Brūču apstrāde</w:t>
      </w:r>
    </w:p>
    <w:p w14:paraId="4D54F13A"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Savlaicīga kosto vai skrāpēto brūču lokālā terapija ir ļoti nozīmīga PEP sastāvdaļa, un tā veicama visu trīs ekspozīcijas kategoriju gadījumos. Ja ziepes vai lokālie preparāti ar virucīdu darbību nav pieejami, brūces ir jāmazgā un jāskalo ar lielu daudzumu ūdens. </w:t>
      </w:r>
    </w:p>
    <w:p w14:paraId="4EB72326"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Penetrējošas un asiņojošas brūces vislabāk ārstēt ar ikdienas brūces pārsiešanu un sekundāro šuvju uzlikšanu, kad tas tiešām ir nepieciešams, citādi no brūču šūšanas jāizvairās. Pēc brūču infiltrācijas ar RIG nepieciešams nogaidīt pāris stundas pirms šuvju uzlikšanas, lai IG ļautu difundēt audos. RIG var droši ievadīt brūcēs ar šādu lokalizāciju: roku un kāju pirkstu gali, ausu ļipiņas, deguna spārni, ārējie dzimumorgāni.</w:t>
      </w:r>
    </w:p>
    <w:p w14:paraId="62CC43EA"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Citi preparāti (antibakteriālie līdzekļi, stingumkrampju profilakse) ordinējami, ja, izvērtējot brūces stāvokli, tas ir nepieciešams.</w:t>
      </w:r>
    </w:p>
    <w:p w14:paraId="5156636A" w14:textId="77777777" w:rsidR="00137DF8" w:rsidRDefault="0024621C">
      <w:pPr>
        <w:spacing w:after="160" w:line="288" w:lineRule="auto"/>
        <w:jc w:val="center"/>
        <w:rPr>
          <w:rFonts w:ascii="Graphik" w:eastAsia="Graphik" w:hAnsi="Graphik" w:cs="Graphik"/>
          <w:b/>
          <w:bCs/>
          <w:color w:val="1C3780"/>
          <w:sz w:val="18"/>
          <w:szCs w:val="18"/>
          <w:u w:color="FC6861"/>
          <w14:textOutline w14:w="12700" w14:cap="flat" w14:cmpd="sng" w14:algn="ctr">
            <w14:noFill/>
            <w14:prstDash w14:val="solid"/>
            <w14:miter w14:lim="400000"/>
          </w14:textOutline>
        </w:rPr>
      </w:pPr>
      <w:r>
        <w:rPr>
          <w:rFonts w:ascii="Graphik" w:hAnsi="Graphik" w:cs="Arial Unicode MS"/>
          <w:b/>
          <w:bCs/>
          <w:color w:val="1C3780"/>
          <w:sz w:val="18"/>
          <w:szCs w:val="18"/>
          <w:u w:color="FC6861"/>
          <w14:textOutline w14:w="12700" w14:cap="flat" w14:cmpd="sng" w14:algn="ctr">
            <w14:noFill/>
            <w14:prstDash w14:val="solid"/>
            <w14:miter w14:lim="400000"/>
          </w14:textOutline>
        </w:rPr>
        <w:t>Inficēta brūce nav kontrindikācija brūces infiltrācijai ar RIG!</w:t>
      </w:r>
    </w:p>
    <w:p w14:paraId="7A30B990" w14:textId="77777777" w:rsidR="00137DF8" w:rsidRDefault="00137DF8">
      <w:pPr>
        <w:spacing w:after="160" w:line="288" w:lineRule="auto"/>
        <w:rPr>
          <w:rFonts w:ascii="Graphik" w:eastAsia="Graphik" w:hAnsi="Graphik" w:cs="Graphik"/>
          <w:color w:val="000000"/>
          <w:sz w:val="18"/>
          <w:szCs w:val="18"/>
          <w:u w:color="008CB4"/>
          <w14:textOutline w14:w="12700" w14:cap="flat" w14:cmpd="sng" w14:algn="ctr">
            <w14:noFill/>
            <w14:prstDash w14:val="solid"/>
            <w14:miter w14:lim="400000"/>
          </w14:textOutline>
        </w:rPr>
      </w:pPr>
    </w:p>
    <w:p w14:paraId="3A4BC445" w14:textId="77777777" w:rsidR="00137DF8" w:rsidRDefault="0024621C">
      <w:pPr>
        <w:spacing w:after="160" w:line="288" w:lineRule="auto"/>
        <w:rPr>
          <w:rFonts w:ascii="Graphik" w:eastAsia="Graphik" w:hAnsi="Graphik" w:cs="Graphik"/>
          <w:b/>
          <w:bCs/>
          <w:color w:val="000000"/>
          <w:sz w:val="18"/>
          <w:szCs w:val="18"/>
          <w:u w:color="008CB4"/>
          <w14:textOutline w14:w="12700" w14:cap="flat" w14:cmpd="sng" w14:algn="ctr">
            <w14:noFill/>
            <w14:prstDash w14:val="solid"/>
            <w14:miter w14:lim="400000"/>
          </w14:textOutline>
        </w:rPr>
      </w:pPr>
      <w:r>
        <w:rPr>
          <w:rFonts w:ascii="Graphik" w:hAnsi="Graphik" w:cs="Arial Unicode MS"/>
          <w:b/>
          <w:bCs/>
          <w:color w:val="000000"/>
          <w:sz w:val="18"/>
          <w:szCs w:val="18"/>
          <w:u w:color="008CB4"/>
          <w14:textOutline w14:w="12700" w14:cap="flat" w14:cmpd="sng" w14:algn="ctr">
            <w14:noFill/>
            <w14:prstDash w14:val="solid"/>
            <w14:miter w14:lim="400000"/>
          </w14:textOutline>
        </w:rPr>
        <w:t>7. Pēcekspozīcijas profilakses shēmas</w:t>
      </w:r>
    </w:p>
    <w:p w14:paraId="07B567C2"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PVO atzīst vienlīdzīgu klīnisko efektivitāti vakcīnas ID un IM ievadei, tomēr Latvijā ID vakcīnas ievade netiek praktizēta. Trakumsērgas vakcīnas, kas pēc instrukcijas paredzētas IM lietošanai, var droši tikt izmantotas ID ievadei (</w:t>
      </w:r>
      <w:r>
        <w:rPr>
          <w:i/>
          <w:iCs/>
          <w:sz w:val="18"/>
          <w:szCs w:val="18"/>
          <w:u w:color="000000"/>
          <w14:textOutline w14:w="12700" w14:cap="flat" w14:cmpd="sng" w14:algn="ctr">
            <w14:noFill/>
            <w14:prstDash w14:val="solid"/>
            <w14:miter w14:lim="400000"/>
          </w14:textOutline>
        </w:rPr>
        <w:t>off-label</w:t>
      </w:r>
      <w:r>
        <w:rPr>
          <w:sz w:val="18"/>
          <w:szCs w:val="18"/>
          <w:u w:color="000000"/>
          <w14:textOutline w14:w="12700" w14:cap="flat" w14:cmpd="sng" w14:algn="ctr">
            <w14:noFill/>
            <w14:prstDash w14:val="solid"/>
            <w14:miter w14:lim="400000"/>
          </w14:textOutline>
        </w:rPr>
        <w:t>), un par šādu vakcīnas ievadi jāatceras, ja pacients uzsācis PEP citā valstī!</w:t>
      </w:r>
    </w:p>
    <w:p w14:paraId="555A250A" w14:textId="77777777" w:rsidR="00137DF8" w:rsidRDefault="0024621C">
      <w:pPr>
        <w:pStyle w:val="Default"/>
        <w:spacing w:after="160" w:line="288" w:lineRule="auto"/>
        <w:jc w:val="center"/>
        <w:outlineLvl w:val="0"/>
        <w:rPr>
          <w:rFonts w:hint="eastAsia"/>
          <w:b/>
          <w:bCs/>
          <w:sz w:val="18"/>
          <w:szCs w:val="18"/>
          <w:u w:color="000000"/>
          <w14:textOutline w14:w="12700" w14:cap="flat" w14:cmpd="sng" w14:algn="ctr">
            <w14:noFill/>
            <w14:prstDash w14:val="solid"/>
            <w14:miter w14:lim="400000"/>
          </w14:textOutline>
        </w:rPr>
      </w:pPr>
      <w:r>
        <w:rPr>
          <w:b/>
          <w:bCs/>
          <w:color w:val="1C3780"/>
          <w:sz w:val="18"/>
          <w:szCs w:val="18"/>
          <w:u w:color="000000"/>
          <w14:textOutline w14:w="12700" w14:cap="flat" w14:cmpd="sng" w14:algn="ctr">
            <w14:noFill/>
            <w14:prstDash w14:val="solid"/>
            <w14:miter w14:lim="400000"/>
          </w14:textOutline>
        </w:rPr>
        <w:t xml:space="preserve">Pieaugušajiem un bērniem ≥ 2 gadu vecuma vakcīna vienmēr jāievada deltveida muskuļa apvidū. Bērniem &lt; 2 gadu vecumam vakcīna jāievada augšstilba anterolaterālajā daļā. </w:t>
      </w:r>
    </w:p>
    <w:p w14:paraId="7E4BC6DF"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ID ievada 0,1 mL no vakcīnas kopējā tilpuma, IM jāievada viss vakcīnas tilpums, atbilstoši lietošanas instrukcijai. Pieaugušajiem un bērniem ievadāms vienāds vakcīnas tilpums.</w:t>
      </w:r>
    </w:p>
    <w:p w14:paraId="3C195BD6"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lastRenderedPageBreak/>
        <w:t xml:space="preserve">Ja PEP ir uzsākta ārzemēs, ir pieļaujamas izmaiņas vakcīnas izvēlē un ievades veidā, lai nodrošinātu PEP shēmas izpildi. Šādu izmaiņu gadījumā PEP nav jāuzsāk no jauna, bet jāturpina shēma. Jāņem vērā, ka PVO ir apstiprinājusi vairākas PEP shēmas, tāpēc uzsāktā shēma ārzemēs var atšķirties no Latvijā rekomendētās (tabula Nr. 2). </w:t>
      </w:r>
    </w:p>
    <w:p w14:paraId="33E50047" w14:textId="77777777" w:rsidR="00137DF8" w:rsidRPr="0021328C" w:rsidRDefault="0024621C">
      <w:pPr>
        <w:pStyle w:val="Default"/>
        <w:spacing w:after="160" w:line="288" w:lineRule="auto"/>
        <w:jc w:val="both"/>
        <w:outlineLvl w:val="0"/>
        <w:rPr>
          <w:rFonts w:hint="eastAsia"/>
          <w:b/>
          <w:bCs/>
          <w:sz w:val="18"/>
          <w:szCs w:val="18"/>
          <w:u w:color="000000"/>
          <w:lang w:val="es-ES"/>
          <w14:textOutline w14:w="12700" w14:cap="flat" w14:cmpd="sng" w14:algn="ctr">
            <w14:noFill/>
            <w14:prstDash w14:val="solid"/>
            <w14:miter w14:lim="400000"/>
          </w14:textOutline>
        </w:rPr>
      </w:pPr>
      <w:r w:rsidRPr="0021328C">
        <w:rPr>
          <w:b/>
          <w:bCs/>
          <w:sz w:val="18"/>
          <w:szCs w:val="18"/>
          <w:u w:color="000000"/>
          <w:lang w:val="es-ES"/>
          <w14:textOutline w14:w="12700" w14:cap="flat" w14:cmpd="sng" w14:algn="ctr">
            <w14:noFill/>
            <w14:prstDash w14:val="solid"/>
            <w14:miter w14:lim="400000"/>
          </w14:textOutline>
        </w:rPr>
        <w:t>Tabula Nr. 2. PVO rekomendētās un alternatīvās PEP shēmas</w:t>
      </w: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3243"/>
        <w:gridCol w:w="3243"/>
        <w:gridCol w:w="3244"/>
      </w:tblGrid>
      <w:tr w:rsidR="00137DF8" w14:paraId="2BF9A542" w14:textId="77777777">
        <w:trPr>
          <w:trHeight w:val="32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86DF8" w14:textId="77777777" w:rsidR="00137DF8" w:rsidRDefault="0024621C">
            <w:pPr>
              <w:pStyle w:val="Default"/>
              <w:rPr>
                <w:rFonts w:hint="eastAsia"/>
              </w:rPr>
            </w:pPr>
            <w:r>
              <w:rPr>
                <w:b/>
                <w:bCs/>
                <w:sz w:val="12"/>
                <w:szCs w:val="12"/>
                <w:u w:color="000000"/>
              </w:rPr>
              <w:t>PEP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FBC8E" w14:textId="77777777" w:rsidR="00137DF8" w:rsidRDefault="0024621C">
            <w:pPr>
              <w:pStyle w:val="Default"/>
              <w:rPr>
                <w:rFonts w:hint="eastAsia"/>
              </w:rPr>
            </w:pPr>
            <w:r>
              <w:rPr>
                <w:b/>
                <w:bCs/>
                <w:sz w:val="12"/>
                <w:szCs w:val="12"/>
                <w:u w:color="000000"/>
              </w:rPr>
              <w:t>Intervāls/laika periods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157FF" w14:textId="77777777" w:rsidR="00137DF8" w:rsidRDefault="0024621C">
            <w:pPr>
              <w:pStyle w:val="Default"/>
              <w:rPr>
                <w:rFonts w:hint="eastAsia"/>
              </w:rPr>
            </w:pPr>
            <w:r>
              <w:rPr>
                <w:b/>
                <w:bCs/>
                <w:sz w:val="12"/>
                <w:szCs w:val="12"/>
                <w:u w:color="000000"/>
              </w:rPr>
              <w:t>Injekciju skaits vienas vizītes laikā (0., 3., 7., 14., 21. - 28. diena)</w:t>
            </w:r>
          </w:p>
        </w:tc>
      </w:tr>
      <w:tr w:rsidR="00137DF8" w14:paraId="41A6ECBD"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5A3BA" w14:textId="77777777" w:rsidR="00137DF8" w:rsidRDefault="0024621C">
            <w:pPr>
              <w:pStyle w:val="Default"/>
              <w:rPr>
                <w:rFonts w:hint="eastAsia"/>
              </w:rPr>
            </w:pPr>
            <w:r>
              <w:rPr>
                <w:b/>
                <w:bCs/>
                <w:sz w:val="12"/>
                <w:szCs w:val="12"/>
                <w:u w:color="000000"/>
              </w:rPr>
              <w:t>PVO rekomendētā IM shēma</w:t>
            </w:r>
          </w:p>
        </w:tc>
      </w:tr>
      <w:tr w:rsidR="00137DF8" w14:paraId="392F9A6A"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4E427" w14:textId="77777777" w:rsidR="00137DF8" w:rsidRDefault="0024621C">
            <w:pPr>
              <w:pStyle w:val="Default"/>
              <w:rPr>
                <w:rFonts w:hint="eastAsia"/>
              </w:rPr>
            </w:pPr>
            <w:r>
              <w:rPr>
                <w:b/>
                <w:bCs/>
                <w:sz w:val="12"/>
                <w:szCs w:val="12"/>
                <w:u w:color="000000"/>
              </w:rPr>
              <w:t>Divas nedēļas (modificētā Essenas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418FAC" w14:textId="77777777" w:rsidR="00137DF8" w:rsidRDefault="0024621C">
            <w:pPr>
              <w:pStyle w:val="Default"/>
              <w:rPr>
                <w:rFonts w:hint="eastAsia"/>
              </w:rPr>
            </w:pPr>
            <w:r>
              <w:rPr>
                <w:b/>
                <w:bCs/>
                <w:sz w:val="12"/>
                <w:szCs w:val="12"/>
                <w:u w:color="000000"/>
              </w:rPr>
              <w:t>14 - 28 dienas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319BB6" w14:textId="77777777" w:rsidR="00137DF8" w:rsidRDefault="0024621C">
            <w:pPr>
              <w:pStyle w:val="Default"/>
              <w:rPr>
                <w:rFonts w:hint="eastAsia"/>
              </w:rPr>
            </w:pPr>
            <w:r>
              <w:rPr>
                <w:b/>
                <w:bCs/>
                <w:sz w:val="12"/>
                <w:szCs w:val="12"/>
                <w:u w:color="000000"/>
              </w:rPr>
              <w:t>1 - 1 - 1 - 1 - 0</w:t>
            </w:r>
          </w:p>
        </w:tc>
      </w:tr>
      <w:tr w:rsidR="00137DF8" w14:paraId="3E8C79AE"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3B3BD" w14:textId="77777777" w:rsidR="00137DF8" w:rsidRDefault="0024621C">
            <w:pPr>
              <w:pStyle w:val="Default"/>
              <w:rPr>
                <w:rFonts w:hint="eastAsia"/>
              </w:rPr>
            </w:pPr>
            <w:r>
              <w:rPr>
                <w:b/>
                <w:bCs/>
                <w:sz w:val="12"/>
                <w:szCs w:val="12"/>
                <w:u w:color="000000"/>
              </w:rPr>
              <w:t>Trīs nedēļas (Zagrebas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354B2" w14:textId="77777777" w:rsidR="00137DF8" w:rsidRDefault="0024621C">
            <w:pPr>
              <w:pStyle w:val="Default"/>
              <w:rPr>
                <w:rFonts w:hint="eastAsia"/>
              </w:rPr>
            </w:pPr>
            <w:r>
              <w:rPr>
                <w:b/>
                <w:bCs/>
                <w:sz w:val="12"/>
                <w:szCs w:val="12"/>
                <w:u w:color="000000"/>
              </w:rPr>
              <w:t>21 diena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E4EE07" w14:textId="77777777" w:rsidR="00137DF8" w:rsidRDefault="0024621C">
            <w:pPr>
              <w:pStyle w:val="Default"/>
              <w:rPr>
                <w:rFonts w:hint="eastAsia"/>
              </w:rPr>
            </w:pPr>
            <w:r>
              <w:rPr>
                <w:b/>
                <w:bCs/>
                <w:sz w:val="12"/>
                <w:szCs w:val="12"/>
                <w:u w:color="000000"/>
              </w:rPr>
              <w:t xml:space="preserve">2 - 0 - 1 - 0 - 1 </w:t>
            </w:r>
          </w:p>
        </w:tc>
      </w:tr>
      <w:tr w:rsidR="00137DF8" w14:paraId="56E72B11"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24DAB5" w14:textId="77777777" w:rsidR="00137DF8" w:rsidRDefault="0024621C">
            <w:pPr>
              <w:pStyle w:val="Default"/>
              <w:rPr>
                <w:rFonts w:hint="eastAsia"/>
              </w:rPr>
            </w:pPr>
            <w:r>
              <w:rPr>
                <w:sz w:val="12"/>
                <w:szCs w:val="12"/>
                <w:u w:color="000000"/>
              </w:rPr>
              <w:t>PVO rekomendētā ID shēma</w:t>
            </w:r>
          </w:p>
        </w:tc>
      </w:tr>
      <w:tr w:rsidR="00137DF8" w14:paraId="6638E9F3"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6C18CB" w14:textId="77777777" w:rsidR="00137DF8" w:rsidRPr="0021328C" w:rsidRDefault="0024621C">
            <w:pPr>
              <w:pStyle w:val="Default"/>
              <w:rPr>
                <w:rFonts w:hint="eastAsia"/>
                <w:lang w:val="es-ES"/>
              </w:rPr>
            </w:pPr>
            <w:r w:rsidRPr="0021328C">
              <w:rPr>
                <w:sz w:val="12"/>
                <w:szCs w:val="12"/>
                <w:u w:color="000000"/>
                <w:lang w:val="es-ES"/>
              </w:rPr>
              <w:t>Viena nedēļa, divas injekcijas vietas (IPC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019FC" w14:textId="77777777" w:rsidR="00137DF8" w:rsidRDefault="0024621C">
            <w:pPr>
              <w:pStyle w:val="Default"/>
              <w:rPr>
                <w:rFonts w:hint="eastAsia"/>
              </w:rPr>
            </w:pPr>
            <w:r>
              <w:rPr>
                <w:sz w:val="12"/>
                <w:szCs w:val="12"/>
                <w:u w:color="000000"/>
              </w:rPr>
              <w:t>7 dienas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F1A44D" w14:textId="77777777" w:rsidR="00137DF8" w:rsidRDefault="0024621C">
            <w:pPr>
              <w:pStyle w:val="Default"/>
              <w:rPr>
                <w:rFonts w:hint="eastAsia"/>
              </w:rPr>
            </w:pPr>
            <w:r>
              <w:rPr>
                <w:sz w:val="12"/>
                <w:szCs w:val="12"/>
                <w:u w:color="000000"/>
              </w:rPr>
              <w:t>2 - 2 - 2 - 0 - 0</w:t>
            </w:r>
          </w:p>
        </w:tc>
      </w:tr>
      <w:tr w:rsidR="00137DF8" w14:paraId="6AD12969"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3F029" w14:textId="77777777" w:rsidR="00137DF8" w:rsidRDefault="0024621C">
            <w:pPr>
              <w:pStyle w:val="Default"/>
              <w:rPr>
                <w:rFonts w:hint="eastAsia"/>
              </w:rPr>
            </w:pPr>
            <w:r>
              <w:rPr>
                <w:sz w:val="12"/>
                <w:szCs w:val="12"/>
                <w:u w:color="000000"/>
              </w:rPr>
              <w:t>Alternatīvās ID shēmas</w:t>
            </w:r>
          </w:p>
        </w:tc>
      </w:tr>
      <w:tr w:rsidR="00137DF8" w14:paraId="3C5474CA" w14:textId="77777777">
        <w:trPr>
          <w:trHeight w:val="32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E9D26" w14:textId="77777777" w:rsidR="00137DF8" w:rsidRPr="0021328C" w:rsidRDefault="0024621C">
            <w:pPr>
              <w:pStyle w:val="Default"/>
              <w:rPr>
                <w:rFonts w:hint="eastAsia"/>
                <w:lang w:val="es-ES"/>
              </w:rPr>
            </w:pPr>
            <w:r w:rsidRPr="0021328C">
              <w:rPr>
                <w:sz w:val="12"/>
                <w:szCs w:val="12"/>
                <w:u w:color="000000"/>
                <w:lang w:val="es-ES"/>
              </w:rPr>
              <w:t>Viens mēnesis, divas injekcijas vietas (TRC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FAC53" w14:textId="77777777" w:rsidR="00137DF8" w:rsidRDefault="0024621C">
            <w:pPr>
              <w:pStyle w:val="Default"/>
              <w:rPr>
                <w:rFonts w:hint="eastAsia"/>
              </w:rPr>
            </w:pPr>
            <w:r>
              <w:rPr>
                <w:sz w:val="12"/>
                <w:szCs w:val="12"/>
                <w:u w:color="000000"/>
              </w:rPr>
              <w:t xml:space="preserve">≤ 28 dienas </w:t>
            </w:r>
          </w:p>
          <w:p w14:paraId="4392A6D2" w14:textId="77777777" w:rsidR="00137DF8" w:rsidRDefault="00137DF8">
            <w:pPr>
              <w:pStyle w:val="Default"/>
              <w:rPr>
                <w:rFonts w:hint="eastAsia"/>
              </w:rPr>
            </w:pP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6A8BE" w14:textId="77777777" w:rsidR="00137DF8" w:rsidRDefault="0024621C">
            <w:pPr>
              <w:pStyle w:val="Default"/>
              <w:rPr>
                <w:rFonts w:hint="eastAsia"/>
              </w:rPr>
            </w:pPr>
            <w:r>
              <w:rPr>
                <w:sz w:val="12"/>
                <w:szCs w:val="12"/>
                <w:u w:color="000000"/>
              </w:rPr>
              <w:t>2 - 2 - 2 - 0 - 2</w:t>
            </w:r>
          </w:p>
        </w:tc>
      </w:tr>
      <w:tr w:rsidR="00137DF8" w14:paraId="4C90CE00"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1354A" w14:textId="77777777" w:rsidR="00137DF8" w:rsidRPr="0021328C" w:rsidRDefault="0024621C">
            <w:pPr>
              <w:pStyle w:val="Default"/>
              <w:rPr>
                <w:rFonts w:hint="eastAsia"/>
                <w:lang w:val="es-ES"/>
              </w:rPr>
            </w:pPr>
            <w:r w:rsidRPr="0021328C">
              <w:rPr>
                <w:sz w:val="12"/>
                <w:szCs w:val="12"/>
                <w:u w:color="000000"/>
                <w:lang w:val="es-ES"/>
              </w:rPr>
              <w:t>Viens mēnesis, četras injekcijas vietas (vienkāršota)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360B70" w14:textId="77777777" w:rsidR="00137DF8" w:rsidRDefault="0024621C">
            <w:pPr>
              <w:pStyle w:val="Default"/>
              <w:rPr>
                <w:rFonts w:hint="eastAsia"/>
              </w:rPr>
            </w:pPr>
            <w:r>
              <w:rPr>
                <w:sz w:val="12"/>
                <w:szCs w:val="12"/>
                <w:u w:color="000000"/>
              </w:rPr>
              <w:t xml:space="preserve">≤ 28 dienas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179F8" w14:textId="77777777" w:rsidR="00137DF8" w:rsidRDefault="0024621C">
            <w:pPr>
              <w:pStyle w:val="Default"/>
              <w:rPr>
                <w:rFonts w:hint="eastAsia"/>
              </w:rPr>
            </w:pPr>
            <w:r>
              <w:rPr>
                <w:sz w:val="12"/>
                <w:szCs w:val="12"/>
                <w:u w:color="000000"/>
              </w:rPr>
              <w:t>4 - 0 - 2 - 0 - 1</w:t>
            </w:r>
          </w:p>
        </w:tc>
      </w:tr>
      <w:tr w:rsidR="00137DF8" w14:paraId="1E35A463"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BA499" w14:textId="77777777" w:rsidR="00137DF8" w:rsidRPr="0021328C" w:rsidRDefault="0024621C">
            <w:pPr>
              <w:pStyle w:val="Default"/>
              <w:rPr>
                <w:rFonts w:hint="eastAsia"/>
                <w:lang w:val="es-ES"/>
              </w:rPr>
            </w:pPr>
            <w:r w:rsidRPr="0021328C">
              <w:rPr>
                <w:sz w:val="12"/>
                <w:szCs w:val="12"/>
                <w:u w:color="000000"/>
                <w:lang w:val="es-ES"/>
              </w:rPr>
              <w:t xml:space="preserve">Viena nedēļa, četras injekcijas vietas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6702E" w14:textId="77777777" w:rsidR="00137DF8" w:rsidRDefault="0024621C">
            <w:pPr>
              <w:pStyle w:val="Default"/>
              <w:rPr>
                <w:rFonts w:hint="eastAsia"/>
              </w:rPr>
            </w:pPr>
            <w:r>
              <w:rPr>
                <w:sz w:val="12"/>
                <w:szCs w:val="12"/>
                <w:u w:color="000000"/>
              </w:rPr>
              <w:t>7 dienas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A4C16" w14:textId="77777777" w:rsidR="00137DF8" w:rsidRDefault="0024621C">
            <w:pPr>
              <w:pStyle w:val="Default"/>
              <w:rPr>
                <w:rFonts w:hint="eastAsia"/>
              </w:rPr>
            </w:pPr>
            <w:r>
              <w:rPr>
                <w:sz w:val="12"/>
                <w:szCs w:val="12"/>
                <w:u w:color="000000"/>
              </w:rPr>
              <w:t>4 - 4 - 4 - 0 - 0</w:t>
            </w:r>
          </w:p>
        </w:tc>
      </w:tr>
    </w:tbl>
    <w:p w14:paraId="0AF02CE1"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3AF66F15" w14:textId="77777777" w:rsidR="00137DF8" w:rsidRDefault="0024621C">
      <w:pPr>
        <w:pStyle w:val="Default"/>
        <w:spacing w:after="160" w:line="288" w:lineRule="auto"/>
        <w:jc w:val="both"/>
        <w:outlineLvl w:val="0"/>
        <w:rPr>
          <w:rFonts w:hint="eastAsia"/>
          <w:b/>
          <w:bCs/>
          <w:color w:val="4D4D4D"/>
          <w:sz w:val="18"/>
          <w:szCs w:val="18"/>
          <w:u w:color="008CB4"/>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PEP var neuzsākt, ja dzīvnieku iespējams 10 dienas novērot vai, ja laboratorijā ar atbilstošām diagnostikas metodēm dzīvniekam trakumsērga netiek apstiprināta. Novērošanas periods attiecas uz suņiem un kaķiem; izņemot apdraudēto vai izmirstošo sugu dzīvniekus, citi mājdzīvnieki vai savvaļas dzīvnieki, par kuriem ir aizdomas attiecībā uz trakumsērgu, ir pakļaujami eitanāzijai, un to audi jāizmeklē attiecībā uz trakumsērgas antigēna klātbūtni, izmantojot atbilstošas laboratoriskas metodes (izvērtē un lēmumus pieņem veterinārārsts). PEP var pārtraukt, ja ir veterinārārsta atzinums, ka dzīvnieka novērošana ir pabeigta un trakumsērgas pazīmju nav, vai ir saņemts laboratorijas testēšanas rezultāts, ka trakumsērga dzīvniekam nav apstiprināta.</w:t>
      </w:r>
    </w:p>
    <w:p w14:paraId="1B104D13" w14:textId="77777777" w:rsidR="00137DF8" w:rsidRDefault="002C6203">
      <w:pPr>
        <w:spacing w:after="160" w:line="264" w:lineRule="auto"/>
        <w:rPr>
          <w:rFonts w:ascii="Graphik" w:eastAsia="Graphik" w:hAnsi="Graphik" w:cs="Graphik"/>
          <w:b/>
          <w:bCs/>
          <w:color w:val="000000"/>
          <w:sz w:val="18"/>
          <w:szCs w:val="18"/>
          <w:u w:color="008CB4"/>
          <w14:textOutline w14:w="12700" w14:cap="flat" w14:cmpd="sng" w14:algn="ctr">
            <w14:noFill/>
            <w14:prstDash w14:val="solid"/>
            <w14:miter w14:lim="400000"/>
          </w14:textOutline>
        </w:rPr>
      </w:pPr>
      <w:r>
        <w:rPr>
          <w:rFonts w:ascii="Graphik" w:eastAsia="Graphik" w:hAnsi="Graphik" w:cs="Graphik"/>
          <w:b/>
          <w:bCs/>
          <w:noProof/>
          <w:color w:val="000000"/>
          <w:sz w:val="18"/>
          <w:szCs w:val="18"/>
          <w:u w:color="008CB4"/>
          <w:lang w:val="lv-LV" w:eastAsia="lv-LV"/>
          <w14:textOutline w14:w="12700" w14:cap="flat" w14:cmpd="sng" w14:algn="ctr">
            <w14:noFill/>
            <w14:prstDash w14:val="solid"/>
            <w14:miter w14:lim="400000"/>
          </w14:textOutline>
        </w:rPr>
        <w:drawing>
          <wp:anchor distT="152400" distB="152400" distL="152400" distR="152400" simplePos="0" relativeHeight="251680768" behindDoc="0" locked="0" layoutInCell="1" allowOverlap="1" wp14:anchorId="4514DFEF" wp14:editId="4CDFBBC0">
            <wp:simplePos x="0" y="0"/>
            <wp:positionH relativeFrom="margin">
              <wp:posOffset>0</wp:posOffset>
            </wp:positionH>
            <wp:positionV relativeFrom="line">
              <wp:posOffset>373436</wp:posOffset>
            </wp:positionV>
            <wp:extent cx="5859780" cy="3569970"/>
            <wp:effectExtent l="0" t="0" r="7620" b="0"/>
            <wp:wrapThrough wrapText="bothSides" distL="152400" distR="152400">
              <wp:wrapPolygon edited="1">
                <wp:start x="0" y="0"/>
                <wp:lineTo x="21600" y="0"/>
                <wp:lineTo x="21600" y="21615"/>
                <wp:lineTo x="0" y="21615"/>
                <wp:lineTo x="0" y="0"/>
              </wp:wrapPolygon>
            </wp:wrapThrough>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20"/>
                    <a:stretch>
                      <a:fillRect/>
                    </a:stretch>
                  </pic:blipFill>
                  <pic:spPr>
                    <a:xfrm>
                      <a:off x="0" y="0"/>
                      <a:ext cx="5859780" cy="35699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Graphik" w:hAnsi="Graphik" w:cs="Arial Unicode MS"/>
          <w:b/>
          <w:bCs/>
          <w:color w:val="000000"/>
          <w:sz w:val="18"/>
          <w:szCs w:val="18"/>
          <w:u w:color="008CB4"/>
          <w14:textOutline w14:w="12700" w14:cap="flat" w14:cmpd="sng" w14:algn="ctr">
            <w14:noFill/>
            <w14:prstDash w14:val="solid"/>
            <w14:miter w14:lim="400000"/>
          </w14:textOutline>
        </w:rPr>
        <w:t>Shēma Nr. 3. Profilakse pēc ekspozīcijas ar iespējami inficētiem dzīvniekiem</w:t>
      </w:r>
    </w:p>
    <w:p w14:paraId="5B69A093" w14:textId="77777777" w:rsidR="00137DF8" w:rsidRPr="004E71CD" w:rsidRDefault="0096140D">
      <w:pPr>
        <w:pStyle w:val="Default"/>
        <w:spacing w:after="160" w:line="288" w:lineRule="auto"/>
        <w:outlineLvl w:val="0"/>
        <w:rPr>
          <w:rFonts w:hint="eastAsia"/>
          <w:b/>
          <w:bCs/>
          <w:color w:val="4D4D4D"/>
          <w:sz w:val="18"/>
          <w:szCs w:val="18"/>
          <w:u w:color="008CB4"/>
          <w14:textOutline w14:w="12700" w14:cap="flat" w14:cmpd="sng" w14:algn="ctr">
            <w14:noFill/>
            <w14:prstDash w14:val="solid"/>
            <w14:miter w14:lim="400000"/>
          </w14:textOutline>
        </w:rPr>
      </w:pPr>
      <w:r>
        <w:rPr>
          <w:rFonts w:eastAsia="Graphik" w:cs="Graphik"/>
          <w:b/>
          <w:bCs/>
          <w:noProof/>
          <w:sz w:val="18"/>
          <w:szCs w:val="18"/>
          <w:u w:color="008CB4"/>
          <w:lang w:val="lv-LV"/>
          <w14:textOutline w14:w="12700" w14:cap="flat" w14:cmpd="sng" w14:algn="ctr">
            <w14:noFill/>
            <w14:prstDash w14:val="solid"/>
            <w14:miter w14:lim="400000"/>
          </w14:textOutline>
        </w:rPr>
        <w:lastRenderedPageBreak/>
        <w:drawing>
          <wp:anchor distT="152400" distB="152400" distL="152400" distR="152400" simplePos="0" relativeHeight="251684864" behindDoc="0" locked="0" layoutInCell="1" allowOverlap="1" wp14:anchorId="3E328C1E" wp14:editId="34362CCC">
            <wp:simplePos x="0" y="0"/>
            <wp:positionH relativeFrom="margin">
              <wp:align>left</wp:align>
            </wp:positionH>
            <wp:positionV relativeFrom="line">
              <wp:posOffset>-2120652</wp:posOffset>
            </wp:positionV>
            <wp:extent cx="6184900" cy="2983230"/>
            <wp:effectExtent l="0" t="0" r="6350" b="7620"/>
            <wp:wrapThrough wrapText="bothSides" distL="152400" distR="152400">
              <wp:wrapPolygon edited="1">
                <wp:start x="0" y="0"/>
                <wp:lineTo x="21600" y="0"/>
                <wp:lineTo x="21600" y="21601"/>
                <wp:lineTo x="0" y="21601"/>
                <wp:lineTo x="0" y="0"/>
              </wp:wrapPolygon>
            </wp:wrapThrough>
            <wp:docPr id="1" name="Picture 1" descr="Image"/>
            <wp:cNvGraphicFramePr/>
            <a:graphic xmlns:a="http://schemas.openxmlformats.org/drawingml/2006/main">
              <a:graphicData uri="http://schemas.openxmlformats.org/drawingml/2006/picture">
                <pic:pic xmlns:pic="http://schemas.openxmlformats.org/drawingml/2006/picture">
                  <pic:nvPicPr>
                    <pic:cNvPr id="1073741833" name="Image" descr="Image"/>
                    <pic:cNvPicPr>
                      <a:picLocks noChangeAspect="1"/>
                    </pic:cNvPicPr>
                  </pic:nvPicPr>
                  <pic:blipFill>
                    <a:blip r:embed="rId21"/>
                    <a:stretch>
                      <a:fillRect/>
                    </a:stretch>
                  </pic:blipFill>
                  <pic:spPr>
                    <a:xfrm>
                      <a:off x="0" y="0"/>
                      <a:ext cx="6184900" cy="2983230"/>
                    </a:xfrm>
                    <a:prstGeom prst="rect">
                      <a:avLst/>
                    </a:prstGeom>
                    <a:ln w="12700" cap="flat">
                      <a:noFill/>
                      <a:miter lim="400000"/>
                    </a:ln>
                    <a:effectLst/>
                  </pic:spPr>
                </pic:pic>
              </a:graphicData>
            </a:graphic>
          </wp:anchor>
        </w:drawing>
      </w:r>
      <w:r>
        <w:rPr>
          <w:b/>
          <w:bCs/>
          <w:color w:val="4D4D4D"/>
          <w:sz w:val="18"/>
          <w:szCs w:val="18"/>
          <w:u w:color="008CB4"/>
          <w14:textOutline w14:w="12700" w14:cap="flat" w14:cmpd="sng" w14:algn="ctr">
            <w14:noFill/>
            <w14:prstDash w14:val="solid"/>
            <w14:miter w14:lim="400000"/>
          </w14:textOutline>
        </w:rPr>
        <w:t xml:space="preserve">* </w:t>
      </w:r>
      <w:r>
        <w:rPr>
          <w:sz w:val="18"/>
          <w:szCs w:val="18"/>
          <w:u w:color="000000"/>
          <w14:textOutline w14:w="12700" w14:cap="flat" w14:cmpd="sng" w14:algn="ctr">
            <w14:noFill/>
            <w14:prstDash w14:val="solid"/>
            <w14:miter w14:lim="400000"/>
          </w14:textOutline>
        </w:rPr>
        <w:t>Imūnkompromitētām personām 2 – 4 nedēļas pēc pēdējās vakcīnas devas saņemšanas jānosaka VNAb: ja antivielu titrs ir &lt;0,5 IU/mL, jāordinē vēl viena vakcīnas deva; pēc tam jāatkārto seroloģiskie izmeklējumi. Ja pēc atkārtotas izmeklēšanas VNAb saglabājas &lt;0,5 IU/mL, nepieciešama vakcinācijas speciālista konsultācija.</w:t>
      </w:r>
    </w:p>
    <w:p w14:paraId="7E421CF6"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RIG jāievada reizē ar pirmo vakcīnas devu. RIG var ievadīt līdz 168. stundai jeb 7. dienai kopš pirmās vakcīnas devas saņemšanas.</w:t>
      </w:r>
    </w:p>
    <w:p w14:paraId="495E0958"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NB! Atkārtotas vīrusa ekspozīcijas gadījumā šīs personas jāuztver kā iepriekš imunizētas un attiecīgi jāimunizē!</w:t>
      </w:r>
    </w:p>
    <w:p w14:paraId="3799581A" w14:textId="77777777" w:rsidR="00137DF8" w:rsidRPr="0021328C" w:rsidRDefault="0096140D">
      <w:pPr>
        <w:pStyle w:val="Default"/>
        <w:spacing w:after="320"/>
        <w:outlineLvl w:val="0"/>
        <w:rPr>
          <w:rFonts w:hint="eastAsia"/>
          <w:b/>
          <w:bCs/>
          <w:sz w:val="18"/>
          <w:szCs w:val="18"/>
          <w:u w:color="000000"/>
          <w:lang w:val="es-ES"/>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82816" behindDoc="0" locked="0" layoutInCell="1" allowOverlap="1" wp14:anchorId="1D61560B" wp14:editId="3A2EA5DC">
            <wp:simplePos x="0" y="0"/>
            <wp:positionH relativeFrom="margin">
              <wp:posOffset>-911</wp:posOffset>
            </wp:positionH>
            <wp:positionV relativeFrom="line">
              <wp:posOffset>318190</wp:posOffset>
            </wp:positionV>
            <wp:extent cx="6026785" cy="3823970"/>
            <wp:effectExtent l="0" t="0" r="0" b="5080"/>
            <wp:wrapThrough wrapText="bothSides" distL="152400" distR="152400">
              <wp:wrapPolygon edited="1">
                <wp:start x="0" y="0"/>
                <wp:lineTo x="21621" y="0"/>
                <wp:lineTo x="21621" y="21604"/>
                <wp:lineTo x="0" y="21604"/>
                <wp:lineTo x="0" y="0"/>
              </wp:wrapPolygon>
            </wp:wrapThrough>
            <wp:docPr id="1073741834" name="officeArt object" descr="Image"/>
            <wp:cNvGraphicFramePr/>
            <a:graphic xmlns:a="http://schemas.openxmlformats.org/drawingml/2006/main">
              <a:graphicData uri="http://schemas.openxmlformats.org/drawingml/2006/picture">
                <pic:pic xmlns:pic="http://schemas.openxmlformats.org/drawingml/2006/picture">
                  <pic:nvPicPr>
                    <pic:cNvPr id="1073741834" name="Image" descr="Image"/>
                    <pic:cNvPicPr>
                      <a:picLocks noChangeAspect="1"/>
                    </pic:cNvPicPr>
                  </pic:nvPicPr>
                  <pic:blipFill>
                    <a:blip r:embed="rId22"/>
                    <a:stretch>
                      <a:fillRect/>
                    </a:stretch>
                  </pic:blipFill>
                  <pic:spPr>
                    <a:xfrm>
                      <a:off x="0" y="0"/>
                      <a:ext cx="6026785" cy="38239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21328C">
        <w:rPr>
          <w:b/>
          <w:bCs/>
          <w:sz w:val="18"/>
          <w:szCs w:val="18"/>
          <w:u w:color="000000"/>
          <w:lang w:val="es-ES"/>
          <w14:textOutline w14:w="12700" w14:cap="flat" w14:cmpd="sng" w14:algn="ctr">
            <w14:noFill/>
            <w14:prstDash w14:val="solid"/>
            <w14:miter w14:lim="400000"/>
          </w14:textOutline>
        </w:rPr>
        <w:t>Shēma Nr. 4. Profilakse pēc ekspozīcijas ar sikspārņiem</w:t>
      </w:r>
    </w:p>
    <w:p w14:paraId="10D59CD6"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b/>
          <w:bCs/>
          <w:color w:val="4D4D4D"/>
          <w:sz w:val="18"/>
          <w:szCs w:val="18"/>
          <w:u w:color="008CB4"/>
          <w:lang w:val="es-ES"/>
          <w14:textOutline w14:w="12700" w14:cap="flat" w14:cmpd="sng" w14:algn="ctr">
            <w14:noFill/>
            <w14:prstDash w14:val="solid"/>
            <w14:miter w14:lim="400000"/>
          </w14:textOutline>
        </w:rPr>
        <w:lastRenderedPageBreak/>
        <w:t xml:space="preserve">* </w:t>
      </w:r>
      <w:r w:rsidRPr="0021328C">
        <w:rPr>
          <w:sz w:val="18"/>
          <w:szCs w:val="18"/>
          <w:u w:color="000000"/>
          <w:lang w:val="es-ES"/>
          <w14:textOutline w14:w="12700" w14:cap="flat" w14:cmpd="sng" w14:algn="ctr">
            <w14:noFill/>
            <w14:prstDash w14:val="solid"/>
            <w14:miter w14:lim="400000"/>
          </w14:textOutline>
        </w:rPr>
        <w:t>Imūnkompromitētām personām 2 – 4 nedēļas pēc pēdējās vakcīnas devas saņemšanas jānosaka VNAb: ja antivielu titrs ir &lt;0,5 IU/mL, jāordinē vēl viena vakcīnas deva; pēc tam jāatkārto seroloģiskie izmeklējumi. Ja pēc atkārtotas izmeklēšanas VNAb saglabājas &lt;0,5 IU/mL, nepieciešama vakcinācijas speciālista konsultācija.</w:t>
      </w:r>
    </w:p>
    <w:p w14:paraId="6DEE8AD7"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RIG jāievada reizē ar pirmo vakcīnas devu. RIG var ievadīt līdz 168. stundai jeb 7. dienai kopš pirmās vakcīnas devas saņemšanas.</w:t>
      </w:r>
    </w:p>
    <w:p w14:paraId="735156C9"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NB! Atkārtotas vīrusa ekspozīcijas gadījumā šīs personas jāuztver kā iepriekš imunizētas un attiecīgi jāimunizē!</w:t>
      </w:r>
    </w:p>
    <w:p w14:paraId="127B4074" w14:textId="77777777" w:rsidR="00137DF8" w:rsidRPr="0021328C" w:rsidRDefault="0024621C">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Rīcības shēmas pēc kontakta ar iespējami inficētiem dzīvniekiem un sikspārņiem ir atšķirīgas 2 iemeslu dēļ: </w:t>
      </w:r>
      <w:r w:rsidRPr="0021328C">
        <w:rPr>
          <w:sz w:val="18"/>
          <w:szCs w:val="18"/>
          <w:u w:color="000000"/>
          <w:lang w:val="es-ES"/>
          <w14:textOutline w14:w="12700" w14:cap="flat" w14:cmpd="sng" w14:algn="ctr">
            <w14:noFill/>
            <w14:prstDash w14:val="solid"/>
            <w14:miter w14:lim="400000"/>
          </w14:textOutline>
        </w:rPr>
        <w:br/>
        <w:t>- sikspārņu kodumi vai skrāpējumi izmērā ir ievērojami mazāki un visbiežāk vispār nav pamanāmi,</w:t>
      </w:r>
      <w:r w:rsidRPr="0021328C">
        <w:rPr>
          <w:sz w:val="18"/>
          <w:szCs w:val="18"/>
          <w:u w:color="000000"/>
          <w:lang w:val="es-ES"/>
          <w14:textOutline w14:w="12700" w14:cap="flat" w14:cmpd="sng" w14:algn="ctr">
            <w14:noFill/>
            <w14:prstDash w14:val="solid"/>
            <w14:miter w14:lim="400000"/>
          </w14:textOutline>
        </w:rPr>
        <w:br/>
        <w:t xml:space="preserve">- pastāv daudz lielāka iespēja inficēties ar trakumsērgu no sikspārņu nekā citu dzīvnieku virspusējiem ādas bojājumiem. </w:t>
      </w:r>
    </w:p>
    <w:p w14:paraId="1D64571E"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PEP iepriekš pret trakumsērgu imunizētiem cilvēkiem</w:t>
      </w:r>
    </w:p>
    <w:p w14:paraId="2D6EDD7C"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Pirmreizējas vai atkārtotas ekspozīcijas gadījumā personām, kas var dokumentāli apliecināt iepriekš jau veiktu PrEP vai PEP, attiecināms sekojošs princips - RIG nav indicēts.</w:t>
      </w:r>
    </w:p>
    <w:p w14:paraId="1133B1BF"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Personām, kas nespēj dokumentāli apliecināt iepriekš veiktu PrEP un PEP, jāveic PEP pilnā apjomā, ieskaitot RIG, ja tas nepieciešams.</w:t>
      </w:r>
    </w:p>
    <w:p w14:paraId="07369BBF"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Pasīvā imunizācija ar RIG</w:t>
      </w:r>
    </w:p>
    <w:p w14:paraId="55019A12"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RIG nodrošina pasīvo imunizāciju ar neitralizējošām antivielām ieejas vārtos līdz brīdim, kad pēc trakumsērgas vakcinācijas personai veidojas aktīvā imunitāte jeb antivielas. Gadījumos, ja ir ierobežots RIG daudzums, tad eksponētās personas tiek izvērtētas pēc riska, un RIG tiek ordinēts personām ar augstu ekspozīcijas risku. Vakcīnas jāordinē neatkarīgi no to pieejamības.</w:t>
      </w:r>
    </w:p>
    <w:p w14:paraId="39807A68"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RIG ordinē vienreizēji, vienlaicīgi uzsākot trakumsērgas vakcināciju pēc shēmas vai īsi pēc vakcinācijas shēmas uzsākšanas. RIG nav indicēts, ja kopš pirmās vakcīnas devas saņemšanas pagājušas vairāk nekā 168 stundas jeb 7 dienas - aktīva antivielu veidošanās pēc vakcinācijas jau būs sākusies, RIG ievade būs veltīga.</w:t>
      </w:r>
    </w:p>
    <w:p w14:paraId="10E4C7C5"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Visa RIG deva jāievada brūcē vai pēc iespējas tuvāk tai, nodrošinot tuvāko audu inflitrāciju, kas lokāli neļauj vīrusam izplatīties; atlikušo RIG daudzumu var ievadīt IM. Ja ir aizdomas par citām mazām brūcēm, ir bijis kontakts ar sikspārni, ir bijis skrāpējums vai aizdomas par ekspozīciju ar trakumsērgas vīrusa saturošu aerosolu, RIG var ievadīt IM, vistuvāk skartajai lokalizācijai. Gļotādu ekspozīcijas gadījumā jāapsver gļotādu skalošana ar RIG. Vienā šļircē nedrīkst iepildīt vakcīnu un tad RIG. </w:t>
      </w:r>
    </w:p>
    <w:p w14:paraId="33D077D4"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Dziļām vai vairākām brūcēm, kurām būs nepieciešams vairāk RIG, nekā tā maksimālā deva, to var atšķaidīt ar sterilu fizioloģisko šķidrumu, lai palielinātu RIG daudzumu līdz tilpumam, lai pilnvērtīgi infiltrēt visas brūces. </w:t>
      </w:r>
    </w:p>
    <w:p w14:paraId="5F91E0BF"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Kontrindikācijas un piesardzība veicot PEP</w:t>
      </w:r>
    </w:p>
    <w:p w14:paraId="7A67EC54"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PEP var droši veikt zīdaiņiem, grūtniecēm, imūnsupresētiem indivīdiem, arī bērniem ar HIV/AIDS. Kā veicot jebkuru vakcināciju, recipienti jānovēro 15 - 20 minūtes pēc vakcinācijas. Iepriekšējas smagas alerģiskas reakcijas gadījumā uz kādu no trakumsērgas vakcīnas komponentēm ir kontrindicēta tās pašas vakcīnas ievade, bet profilakses veikšanai izmantojama cita vakcīna.</w:t>
      </w:r>
    </w:p>
    <w:p w14:paraId="7FE256C3" w14:textId="77777777" w:rsidR="00137DF8" w:rsidRPr="0021328C" w:rsidRDefault="0024621C">
      <w:pPr>
        <w:spacing w:after="160" w:line="288" w:lineRule="auto"/>
        <w:jc w:val="center"/>
        <w:rPr>
          <w:rFonts w:ascii="Graphik" w:eastAsia="Graphik" w:hAnsi="Graphik" w:cs="Graphik"/>
          <w:b/>
          <w:bCs/>
          <w:color w:val="000000"/>
          <w:sz w:val="18"/>
          <w:szCs w:val="18"/>
          <w:u w:color="000000"/>
          <w:lang w:val="es-ES"/>
          <w14:textOutline w14:w="12700" w14:cap="flat" w14:cmpd="sng" w14:algn="ctr">
            <w14:noFill/>
            <w14:prstDash w14:val="solid"/>
            <w14:miter w14:lim="400000"/>
          </w14:textOutline>
        </w:rPr>
      </w:pPr>
      <w:r w:rsidRPr="0021328C">
        <w:rPr>
          <w:rFonts w:ascii="Graphik" w:hAnsi="Graphik" w:cs="Arial Unicode MS"/>
          <w:b/>
          <w:bCs/>
          <w:color w:val="1C3780"/>
          <w:sz w:val="18"/>
          <w:szCs w:val="18"/>
          <w:u w:color="008CB4"/>
          <w:lang w:val="es-ES"/>
          <w14:textOutline w14:w="12700" w14:cap="flat" w14:cmpd="sng" w14:algn="ctr">
            <w14:noFill/>
            <w14:prstDash w14:val="solid"/>
            <w14:miter w14:lim="400000"/>
          </w14:textOutline>
        </w:rPr>
        <w:t>Pēcekspozīcijas profilaksei nav kontrindikāciju!</w:t>
      </w:r>
    </w:p>
    <w:p w14:paraId="2927679C"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Ceļošana uz augsta riska ekspozīcijas valstīm un teritorijām, un indikācijas PrEP</w:t>
      </w:r>
    </w:p>
    <w:p w14:paraId="67BE8D62"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Individuālo risku ekspozīcijai ar trakumsērgas vīrusu izvērtē, ņemot vērā: galamērķi, konkrētās teritorijas vai valsts epidemioloģiskajiem datiem attiecībā uz trakumsērgas izplatību un atrašanās ilgumu endēmiskajā rajonā.</w:t>
      </w:r>
    </w:p>
    <w:p w14:paraId="1442CDE8"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PrEP apsver personām, kas plāno pavadīt daudz laika ārpus telpām, kā arī personām, kas ceļo uz valstīm, kur var nebūt pieejama savlaicīga PEP. PrEP apsverama personām, kurām paredzama ekspozīcija ar sikspārņiem. </w:t>
      </w:r>
    </w:p>
    <w:p w14:paraId="61E206EF"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Personām, kuras dodas uz augsta riska ekspozīcijas teritorijām, ir jāizvairās no klaiņojošiem dzīvniekiem, īpaši suņiem, kaķiem un mērkaķiem, kā arī klaiņojošiem un nebrīvē esošiem savvaļas dzīvniekiem. Personām, kuras apmeklē alas, ko apdzīvo sikspārņi, ir jāizvairās no kontakta ar šiem dzīvniekiem, un gadījumā, ja tāds ir bijis, rekomendēta PEP.</w:t>
      </w:r>
    </w:p>
    <w:p w14:paraId="3730EDDE" w14:textId="77777777" w:rsidR="00343D45" w:rsidRPr="0021328C" w:rsidRDefault="00343D45">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p>
    <w:p w14:paraId="6B223ED4"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lastRenderedPageBreak/>
        <w:t>Pasaules valstu riska skaidrojumi</w:t>
      </w:r>
    </w:p>
    <w:p w14:paraId="1BD13B69"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Visas pasaules valstis un teritorijas tiek klasificētas kā </w:t>
      </w:r>
      <w:r w:rsidRPr="0021328C">
        <w:rPr>
          <w:i/>
          <w:iCs/>
          <w:sz w:val="18"/>
          <w:szCs w:val="18"/>
          <w:u w:color="000000"/>
          <w:lang w:val="es-ES"/>
          <w14:textOutline w14:w="12700" w14:cap="flat" w14:cmpd="sng" w14:algn="ctr">
            <w14:noFill/>
            <w14:prstDash w14:val="solid"/>
            <w14:miter w14:lim="400000"/>
          </w14:textOutline>
        </w:rPr>
        <w:t>bez</w:t>
      </w:r>
      <w:r w:rsidRPr="0021328C">
        <w:rPr>
          <w:sz w:val="18"/>
          <w:szCs w:val="18"/>
          <w:u w:color="000000"/>
          <w:lang w:val="es-ES"/>
          <w14:textOutline w14:w="12700" w14:cap="flat" w14:cmpd="sng" w14:algn="ctr">
            <w14:noFill/>
            <w14:prstDash w14:val="solid"/>
            <w14:miter w14:lim="400000"/>
          </w14:textOutline>
        </w:rPr>
        <w:t xml:space="preserve">, </w:t>
      </w:r>
      <w:r w:rsidRPr="0021328C">
        <w:rPr>
          <w:i/>
          <w:iCs/>
          <w:sz w:val="18"/>
          <w:szCs w:val="18"/>
          <w:u w:color="000000"/>
          <w:lang w:val="es-ES"/>
          <w14:textOutline w14:w="12700" w14:cap="flat" w14:cmpd="sng" w14:algn="ctr">
            <w14:noFill/>
            <w14:prstDash w14:val="solid"/>
            <w14:miter w14:lim="400000"/>
          </w14:textOutline>
        </w:rPr>
        <w:t>zema</w:t>
      </w:r>
      <w:r w:rsidRPr="0021328C">
        <w:rPr>
          <w:sz w:val="18"/>
          <w:szCs w:val="18"/>
          <w:u w:color="000000"/>
          <w:lang w:val="es-ES"/>
          <w14:textOutline w14:w="12700" w14:cap="flat" w14:cmpd="sng" w14:algn="ctr">
            <w14:noFill/>
            <w14:prstDash w14:val="solid"/>
            <w14:miter w14:lim="400000"/>
          </w14:textOutline>
        </w:rPr>
        <w:t xml:space="preserve">, </w:t>
      </w:r>
      <w:r w:rsidRPr="0021328C">
        <w:rPr>
          <w:i/>
          <w:iCs/>
          <w:sz w:val="18"/>
          <w:szCs w:val="18"/>
          <w:u w:color="000000"/>
          <w:lang w:val="es-ES"/>
          <w14:textOutline w14:w="12700" w14:cap="flat" w14:cmpd="sng" w14:algn="ctr">
            <w14:noFill/>
            <w14:prstDash w14:val="solid"/>
            <w14:miter w14:lim="400000"/>
          </w14:textOutline>
        </w:rPr>
        <w:t>vidēja</w:t>
      </w:r>
      <w:r w:rsidRPr="0021328C">
        <w:rPr>
          <w:sz w:val="18"/>
          <w:szCs w:val="18"/>
          <w:u w:color="000000"/>
          <w:lang w:val="es-ES"/>
          <w14:textOutline w14:w="12700" w14:cap="flat" w14:cmpd="sng" w14:algn="ctr">
            <w14:noFill/>
            <w14:prstDash w14:val="solid"/>
            <w14:miter w14:lim="400000"/>
          </w14:textOutline>
        </w:rPr>
        <w:t xml:space="preserve"> un </w:t>
      </w:r>
      <w:r w:rsidRPr="0021328C">
        <w:rPr>
          <w:i/>
          <w:iCs/>
          <w:sz w:val="18"/>
          <w:szCs w:val="18"/>
          <w:u w:color="000000"/>
          <w:lang w:val="es-ES"/>
          <w14:textOutline w14:w="12700" w14:cap="flat" w14:cmpd="sng" w14:algn="ctr">
            <w14:noFill/>
            <w14:prstDash w14:val="solid"/>
            <w14:miter w14:lim="400000"/>
          </w14:textOutline>
        </w:rPr>
        <w:t>augsta riska</w:t>
      </w:r>
      <w:r w:rsidRPr="0021328C">
        <w:rPr>
          <w:sz w:val="18"/>
          <w:szCs w:val="18"/>
          <w:u w:color="000000"/>
          <w:lang w:val="es-ES"/>
          <w14:textOutline w14:w="12700" w14:cap="flat" w14:cmpd="sng" w14:algn="ctr">
            <w14:noFill/>
            <w14:prstDash w14:val="solid"/>
            <w14:miter w14:lim="400000"/>
          </w14:textOutline>
        </w:rPr>
        <w:t xml:space="preserve"> ne tikai atkarībā no trakumsērgas vai citu lisavīrusu izplatības, bet arī no veselības aprūpes līmeņa un vakcīnu un imūnglobulīnu pieejamības. Atkarībā no konkrētās valsts riska (bez, zems, vidējs, augsts), jāizvērtē PrEP nepieciešamība pirms došanās uz konkrēto valsti.</w:t>
      </w:r>
    </w:p>
    <w:p w14:paraId="44E0F04E" w14:textId="77777777" w:rsidR="00137DF8" w:rsidRPr="0021328C" w:rsidRDefault="0024621C" w:rsidP="00C0124E">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Pēc riska pakāpes valstis iedala:</w:t>
      </w:r>
      <w:r w:rsidRPr="0021328C">
        <w:rPr>
          <w:sz w:val="18"/>
          <w:szCs w:val="18"/>
          <w:u w:color="000000"/>
          <w:lang w:val="es-ES"/>
          <w14:textOutline w14:w="12700" w14:cap="flat" w14:cmpd="sng" w14:algn="ctr">
            <w14:noFill/>
            <w14:prstDash w14:val="solid"/>
            <w14:miter w14:lim="400000"/>
          </w14:textOutline>
        </w:rPr>
        <w:br/>
        <w:t>- BEZ riska: risks inficēties nav vispār,</w:t>
      </w:r>
      <w:r w:rsidRPr="0021328C">
        <w:rPr>
          <w:sz w:val="18"/>
          <w:szCs w:val="18"/>
          <w:u w:color="000000"/>
          <w:lang w:val="es-ES"/>
          <w14:textOutline w14:w="12700" w14:cap="flat" w14:cmpd="sng" w14:algn="ctr">
            <w14:noFill/>
            <w14:prstDash w14:val="solid"/>
            <w14:miter w14:lim="400000"/>
          </w14:textOutline>
        </w:rPr>
        <w:br/>
        <w:t>- ZEMS risks: PrEP nepieciešama personām, kurām ir augsts risks kontaktam ar sikspārņiem (piemēram, savvaļas ekspertiem, zinātniekiem, veterinārārstiem un atsevišķos gadījumos ceļotājiem),</w:t>
      </w:r>
      <w:r w:rsidRPr="0021328C">
        <w:rPr>
          <w:sz w:val="18"/>
          <w:szCs w:val="18"/>
          <w:u w:color="000000"/>
          <w:lang w:val="es-ES"/>
          <w14:textOutline w14:w="12700" w14:cap="flat" w14:cmpd="sng" w14:algn="ctr">
            <w14:noFill/>
            <w14:prstDash w14:val="solid"/>
            <w14:miter w14:lim="400000"/>
          </w14:textOutline>
        </w:rPr>
        <w:br/>
        <w:t>- VIDĒJS risks: PrEP nepieciešama personām, kurām ir augsts risks kontaktam ar sikspārņiem vai citiem savvaļas dzīvniekiem, īpaši plēsējiem (piemēram, savvaļas ekspertiem, zinātniekiem, veterinārārstiem un atsevišķos gadījumos ceļotājiem),</w:t>
      </w:r>
      <w:r w:rsidRPr="0021328C">
        <w:rPr>
          <w:sz w:val="18"/>
          <w:szCs w:val="18"/>
          <w:u w:color="000000"/>
          <w:lang w:val="es-ES"/>
          <w14:textOutline w14:w="12700" w14:cap="flat" w14:cmpd="sng" w14:algn="ctr">
            <w14:noFill/>
            <w14:prstDash w14:val="solid"/>
            <w14:miter w14:lim="400000"/>
          </w14:textOutline>
        </w:rPr>
        <w:br/>
        <w:t xml:space="preserve">- AUGSTS risks: PrEP nepieciešama personām, kurām ir augsts risks kontaktam ar mājas dzīvniekiem, īpaši suņiem vai citiem plēsējiem, kas uzskatāmi par trakumsērgas vektoriem, un personām, kas plāno uzturēties lauku apvidos un tur braukt ar riteni, skriet, nakšņot teltīs vai iet pārgājienos. </w:t>
      </w:r>
    </w:p>
    <w:p w14:paraId="046FACEB" w14:textId="77777777" w:rsidR="00137DF8" w:rsidRPr="0021328C" w:rsidRDefault="0024621C">
      <w:pPr>
        <w:pStyle w:val="Default"/>
        <w:spacing w:after="160" w:line="288" w:lineRule="auto"/>
        <w:jc w:val="center"/>
        <w:outlineLvl w:val="0"/>
        <w:rPr>
          <w:rFonts w:hint="eastAsia"/>
          <w:b/>
          <w:bCs/>
          <w:color w:val="1C3881"/>
          <w:sz w:val="18"/>
          <w:szCs w:val="18"/>
          <w:u w:color="008CB4"/>
          <w:lang w:val="es-ES"/>
          <w14:textOutline w14:w="12700" w14:cap="flat" w14:cmpd="sng" w14:algn="ctr">
            <w14:noFill/>
            <w14:prstDash w14:val="solid"/>
            <w14:miter w14:lim="400000"/>
          </w14:textOutline>
        </w:rPr>
      </w:pPr>
      <w:r w:rsidRPr="0021328C">
        <w:rPr>
          <w:b/>
          <w:bCs/>
          <w:color w:val="1C3881"/>
          <w:sz w:val="18"/>
          <w:szCs w:val="18"/>
          <w:u w:color="000000"/>
          <w:lang w:val="es-ES"/>
          <w14:textOutline w14:w="12700" w14:cap="flat" w14:cmpd="sng" w14:algn="ctr">
            <w14:noFill/>
            <w14:prstDash w14:val="solid"/>
            <w14:miter w14:lim="400000"/>
          </w14:textOutline>
        </w:rPr>
        <w:t>Pastāv arī citas riska klasifikācijas kategorijas, kā arī epidemioloģiskie dati attiecībā uz trakumsērgas sastopamību dažādās valstīs laikā mainās, tāpēc veselības aprūpes speciālistam vienmēr nepieciešams vadīties pēc jaunākās pieejamās informācijas attiecībā uz rekomendācijām par imunizāciju pirms ceļošanas uz kādu konkrētu valsti!</w:t>
      </w:r>
    </w:p>
    <w:p w14:paraId="4B4958E9" w14:textId="77777777" w:rsidR="00137DF8" w:rsidRPr="0021328C" w:rsidRDefault="00137DF8">
      <w:pPr>
        <w:pStyle w:val="Default"/>
        <w:spacing w:after="160" w:line="288" w:lineRule="auto"/>
        <w:jc w:val="both"/>
        <w:outlineLvl w:val="0"/>
        <w:rPr>
          <w:rFonts w:hint="eastAsia"/>
          <w:sz w:val="18"/>
          <w:szCs w:val="18"/>
          <w:u w:color="008CB4"/>
          <w:lang w:val="es-ES"/>
          <w14:textOutline w14:w="12700" w14:cap="flat" w14:cmpd="sng" w14:algn="ctr">
            <w14:noFill/>
            <w14:prstDash w14:val="solid"/>
            <w14:miter w14:lim="400000"/>
          </w14:textOutline>
        </w:rPr>
      </w:pPr>
    </w:p>
    <w:p w14:paraId="57E4BC8F" w14:textId="77777777" w:rsidR="00137DF8" w:rsidRPr="0021328C" w:rsidRDefault="0024621C">
      <w:pPr>
        <w:pStyle w:val="Default"/>
        <w:spacing w:after="160" w:line="288" w:lineRule="auto"/>
        <w:jc w:val="both"/>
        <w:outlineLvl w:val="0"/>
        <w:rPr>
          <w:rFonts w:hint="eastAsia"/>
          <w:b/>
          <w:bCs/>
          <w:sz w:val="18"/>
          <w:szCs w:val="18"/>
          <w:u w:color="008CB4"/>
          <w:lang w:val="es-ES"/>
          <w14:textOutline w14:w="12700" w14:cap="flat" w14:cmpd="sng" w14:algn="ctr">
            <w14:noFill/>
            <w14:prstDash w14:val="solid"/>
            <w14:miter w14:lim="400000"/>
          </w14:textOutline>
        </w:rPr>
      </w:pPr>
      <w:r w:rsidRPr="0021328C">
        <w:rPr>
          <w:b/>
          <w:bCs/>
          <w:sz w:val="18"/>
          <w:szCs w:val="18"/>
          <w:u w:color="008CB4"/>
          <w:lang w:val="es-ES"/>
          <w14:textOutline w14:w="12700" w14:cap="flat" w14:cmpd="sng" w14:algn="ctr">
            <w14:noFill/>
            <w14:prstDash w14:val="solid"/>
            <w14:miter w14:lim="400000"/>
          </w14:textOutline>
        </w:rPr>
        <w:t>8. Personas, kuras uzsākušas pēcekspozīcijas profilaksi ārzemēs</w:t>
      </w:r>
    </w:p>
    <w:p w14:paraId="7D229296"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Personas, kuras ceļo uz ārzemēm un iespējams bijušas eksponētas ar trakumsērgas vīrusu, var būt uzsākušas PEP ārzemēs pēc citām PVO apstiprinātām shēmām (tabula Nr.3).</w:t>
      </w:r>
    </w:p>
    <w:p w14:paraId="325E8020"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RIG pēc atgriešanās Latvijā rekomendē personām, kuras ārzemēs nav saņēmušas RIG un ja kopš vakcīnas 1. devas nav pagājušas vairāk kā 168 stundas jeb 7 dienas.</w:t>
      </w:r>
    </w:p>
    <w:p w14:paraId="6E661A5F" w14:textId="77777777" w:rsidR="00137DF8" w:rsidRPr="0021328C" w:rsidRDefault="0024621C" w:rsidP="00C0124E">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Ceļotājiem jāatgādina - ja PEP uzsākta ārzemēs, no vakcinācijas centra vai medicīnas iestādes, kur tā tiek veikta, jāpieprasa sertifikāts ar sekojošu informāciju:</w:t>
      </w:r>
      <w:r w:rsidRPr="0021328C">
        <w:rPr>
          <w:sz w:val="18"/>
          <w:szCs w:val="18"/>
          <w:u w:color="000000"/>
          <w:lang w:val="es-ES"/>
          <w14:textOutline w14:w="12700" w14:cap="flat" w14:cmpd="sng" w14:algn="ctr">
            <w14:noFill/>
            <w14:prstDash w14:val="solid"/>
            <w14:miter w14:lim="400000"/>
          </w14:textOutline>
        </w:rPr>
        <w:br/>
        <w:t>- vakcinācijas centra vai medicīnas iestādes kontaktinformācija (telefona numurs, epasta adrese),</w:t>
      </w:r>
      <w:r w:rsidRPr="0021328C">
        <w:rPr>
          <w:sz w:val="18"/>
          <w:szCs w:val="18"/>
          <w:u w:color="000000"/>
          <w:lang w:val="es-ES"/>
          <w14:textOutline w14:w="12700" w14:cap="flat" w14:cmpd="sng" w14:algn="ctr">
            <w14:noFill/>
            <w14:prstDash w14:val="solid"/>
            <w14:miter w14:lim="400000"/>
          </w14:textOutline>
        </w:rPr>
        <w:br/>
        <w:t>- RIG partijas numurs un veids (atsevišķas klīnikas izmanto zirga RIG cilvēka RIG vietā),</w:t>
      </w:r>
      <w:r w:rsidRPr="0021328C">
        <w:rPr>
          <w:sz w:val="18"/>
          <w:szCs w:val="18"/>
          <w:u w:color="000000"/>
          <w:lang w:val="es-ES"/>
          <w14:textOutline w14:w="12700" w14:cap="flat" w14:cmpd="sng" w14:algn="ctr">
            <w14:noFill/>
            <w14:prstDash w14:val="solid"/>
            <w14:miter w14:lim="400000"/>
          </w14:textOutline>
        </w:rPr>
        <w:br/>
        <w:t>- ievadītais RIG tilpums un ievades datums,</w:t>
      </w:r>
      <w:r w:rsidRPr="0021328C">
        <w:rPr>
          <w:sz w:val="18"/>
          <w:szCs w:val="18"/>
          <w:u w:color="000000"/>
          <w:lang w:val="es-ES"/>
          <w14:textOutline w14:w="12700" w14:cap="flat" w14:cmpd="sng" w14:algn="ctr">
            <w14:noFill/>
            <w14:prstDash w14:val="solid"/>
            <w14:miter w14:lim="400000"/>
          </w14:textOutline>
        </w:rPr>
        <w:br/>
        <w:t>- ievadītās vakcīnas veids (nervu audu, vistu embriju vai šūnu kultūras),</w:t>
      </w:r>
      <w:r w:rsidRPr="0021328C">
        <w:rPr>
          <w:sz w:val="18"/>
          <w:szCs w:val="18"/>
          <w:u w:color="000000"/>
          <w:lang w:val="es-ES"/>
          <w14:textOutline w14:w="12700" w14:cap="flat" w14:cmpd="sng" w14:algn="ctr">
            <w14:noFill/>
            <w14:prstDash w14:val="solid"/>
            <w14:miter w14:lim="400000"/>
          </w14:textOutline>
        </w:rPr>
        <w:br/>
        <w:t>- vakcīnas sērijas numurs,</w:t>
      </w:r>
      <w:r w:rsidRPr="0021328C">
        <w:rPr>
          <w:sz w:val="18"/>
          <w:szCs w:val="18"/>
          <w:u w:color="000000"/>
          <w:lang w:val="es-ES"/>
          <w14:textOutline w14:w="12700" w14:cap="flat" w14:cmpd="sng" w14:algn="ctr">
            <w14:noFill/>
            <w14:prstDash w14:val="solid"/>
            <w14:miter w14:lim="400000"/>
          </w14:textOutline>
        </w:rPr>
        <w:br/>
        <w:t>- ievadīto vakcīnas devu skaits un ievades datums/-i,</w:t>
      </w:r>
      <w:r w:rsidRPr="0021328C">
        <w:rPr>
          <w:sz w:val="18"/>
          <w:szCs w:val="18"/>
          <w:u w:color="000000"/>
          <w:lang w:val="es-ES"/>
          <w14:textOutline w14:w="12700" w14:cap="flat" w14:cmpd="sng" w14:algn="ctr">
            <w14:noFill/>
            <w14:prstDash w14:val="solid"/>
            <w14:miter w14:lim="400000"/>
          </w14:textOutline>
        </w:rPr>
        <w:br/>
        <w:t>- vakcīnas ievades veids (ID vai IM).</w:t>
      </w:r>
    </w:p>
    <w:p w14:paraId="5E0EAB0B" w14:textId="77777777" w:rsidR="00137DF8" w:rsidRDefault="0024621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r w:rsidRPr="0021328C">
        <w:rPr>
          <w:rFonts w:ascii="Graphik" w:hAnsi="Graphik" w:cs="Arial Unicode MS"/>
          <w:b/>
          <w:bCs/>
          <w:color w:val="1C3780"/>
          <w:sz w:val="18"/>
          <w:szCs w:val="18"/>
          <w:u w:color="008CB4"/>
          <w:lang w:val="es-ES"/>
          <w14:textOutline w14:w="12700" w14:cap="flat" w14:cmpd="sng" w14:algn="ctr">
            <w14:noFill/>
            <w14:prstDash w14:val="solid"/>
            <w14:miter w14:lim="400000"/>
          </w14:textOutline>
        </w:rPr>
        <w:t xml:space="preserve">Nepieciešams precizēt, ar kāda sastāva un kādu ražošanas tehnoloģijas vakcīnu ārzemēs uzsākta PEP: </w:t>
      </w:r>
      <w:r w:rsidRPr="0021328C">
        <w:rPr>
          <w:rFonts w:ascii="Graphik" w:eastAsia="Graphik" w:hAnsi="Graphik" w:cs="Graphik"/>
          <w:b/>
          <w:bCs/>
          <w:color w:val="1C3780"/>
          <w:sz w:val="18"/>
          <w:szCs w:val="18"/>
          <w:u w:color="008CB4"/>
          <w:lang w:val="es-ES"/>
          <w14:textOutline w14:w="12700" w14:cap="flat" w14:cmpd="sng" w14:algn="ctr">
            <w14:noFill/>
            <w14:prstDash w14:val="solid"/>
            <w14:miter w14:lim="400000"/>
          </w14:textOutline>
        </w:rPr>
        <w:br/>
      </w:r>
      <w:r w:rsidRPr="0021328C">
        <w:rPr>
          <w:rFonts w:ascii="Graphik" w:hAnsi="Graphik" w:cs="Arial Unicode MS"/>
          <w:b/>
          <w:bCs/>
          <w:color w:val="1C3780"/>
          <w:sz w:val="18"/>
          <w:szCs w:val="18"/>
          <w:u w:color="008CB4"/>
          <w:lang w:val="es-ES"/>
          <w14:textOutline w14:w="12700" w14:cap="flat" w14:cmpd="sng" w14:algn="ctr">
            <w14:noFill/>
            <w14:prstDash w14:val="solid"/>
            <w14:miter w14:lim="400000"/>
          </w14:textOutline>
        </w:rPr>
        <w:t xml:space="preserve">- ja persona saņēmusi vienu vai vairākas nervu audu trakumsērgas vakcīnu devas, šīs vakcīnas devas netiek skaitītas un vakcinācija jāsāk no jauna; </w:t>
      </w:r>
      <w:r w:rsidRPr="0021328C">
        <w:rPr>
          <w:rFonts w:ascii="Graphik" w:eastAsia="Graphik" w:hAnsi="Graphik" w:cs="Graphik"/>
          <w:b/>
          <w:bCs/>
          <w:color w:val="1C3780"/>
          <w:sz w:val="18"/>
          <w:szCs w:val="18"/>
          <w:u w:color="008CB4"/>
          <w:lang w:val="es-ES"/>
          <w14:textOutline w14:w="12700" w14:cap="flat" w14:cmpd="sng" w14:algn="ctr">
            <w14:noFill/>
            <w14:prstDash w14:val="solid"/>
            <w14:miter w14:lim="400000"/>
          </w14:textOutline>
        </w:rPr>
        <w:br/>
      </w:r>
      <w:r w:rsidRPr="0021328C">
        <w:rPr>
          <w:rFonts w:ascii="Graphik" w:hAnsi="Graphik" w:cs="Arial Unicode MS"/>
          <w:b/>
          <w:bCs/>
          <w:color w:val="1C3780"/>
          <w:sz w:val="18"/>
          <w:szCs w:val="18"/>
          <w:u w:color="008CB4"/>
          <w:lang w:val="es-ES"/>
          <w14:textOutline w14:w="12700" w14:cap="flat" w14:cmpd="sng" w14:algn="ctr">
            <w14:noFill/>
            <w14:prstDash w14:val="solid"/>
            <w14:miter w14:lim="400000"/>
          </w14:textOutline>
        </w:rPr>
        <w:t>- ja ar vistu embriju (CCEEV) vai šūnu kultūru (</w:t>
      </w:r>
      <w:r w:rsidRPr="0021328C">
        <w:rPr>
          <w:rFonts w:ascii="Graphik" w:hAnsi="Graphik" w:cs="Arial Unicode MS"/>
          <w:b/>
          <w:bCs/>
          <w:i/>
          <w:iCs/>
          <w:color w:val="1C3780"/>
          <w:sz w:val="18"/>
          <w:szCs w:val="18"/>
          <w:u w:color="008CB4"/>
          <w:lang w:val="es-ES"/>
          <w14:textOutline w14:w="12700" w14:cap="flat" w14:cmpd="sng" w14:algn="ctr">
            <w14:noFill/>
            <w14:prstDash w14:val="solid"/>
            <w14:miter w14:lim="400000"/>
          </w14:textOutline>
        </w:rPr>
        <w:t>Vero cell</w:t>
      </w:r>
      <w:r w:rsidRPr="0021328C">
        <w:rPr>
          <w:rFonts w:ascii="Graphik" w:hAnsi="Graphik" w:cs="Arial Unicode MS"/>
          <w:b/>
          <w:bCs/>
          <w:color w:val="1C3780"/>
          <w:sz w:val="18"/>
          <w:szCs w:val="18"/>
          <w:u w:color="008CB4"/>
          <w:lang w:val="es-ES"/>
          <w14:textOutline w14:w="12700" w14:cap="flat" w14:cmpd="sng" w14:algn="ctr">
            <w14:noFill/>
            <w14:prstDash w14:val="solid"/>
            <w14:miter w14:lim="400000"/>
          </w14:textOutline>
        </w:rPr>
        <w:t>) vakcīnām, tad profilakse turpināma ar Latvijā pieejamo vakcīnu pēc standarta shēmas.</w:t>
      </w:r>
    </w:p>
    <w:p w14:paraId="3F3DAE8A"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72C6B134"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65A4C015"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01AC3BB5"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5E24690E"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4DB0ADB9" w14:textId="77777777" w:rsidR="00600FAC" w:rsidRDefault="00600FAC">
      <w:pPr>
        <w:spacing w:after="160" w:line="288" w:lineRule="auto"/>
        <w:jc w:val="center"/>
        <w:rPr>
          <w:rFonts w:ascii="Graphik" w:hAnsi="Graphik" w:cs="Arial Unicode MS" w:hint="eastAsia"/>
          <w:b/>
          <w:bCs/>
          <w:color w:val="1C3780"/>
          <w:sz w:val="18"/>
          <w:szCs w:val="18"/>
          <w:u w:color="008CB4"/>
          <w:lang w:val="es-ES"/>
          <w14:textOutline w14:w="12700" w14:cap="flat" w14:cmpd="sng" w14:algn="ctr">
            <w14:noFill/>
            <w14:prstDash w14:val="solid"/>
            <w14:miter w14:lim="400000"/>
          </w14:textOutline>
        </w:rPr>
      </w:pPr>
    </w:p>
    <w:p w14:paraId="0059C22F" w14:textId="77777777" w:rsidR="00600FAC" w:rsidRPr="0021328C" w:rsidRDefault="00600FAC">
      <w:pPr>
        <w:spacing w:after="160" w:line="288" w:lineRule="auto"/>
        <w:jc w:val="center"/>
        <w:rPr>
          <w:rFonts w:ascii="Graphik" w:eastAsia="Graphik" w:hAnsi="Graphik" w:cs="Graphik"/>
          <w:b/>
          <w:bCs/>
          <w:color w:val="1C3780"/>
          <w:sz w:val="18"/>
          <w:szCs w:val="18"/>
          <w:u w:color="FC6861"/>
          <w:lang w:val="es-ES"/>
          <w14:textOutline w14:w="12700" w14:cap="flat" w14:cmpd="sng" w14:algn="ctr">
            <w14:noFill/>
            <w14:prstDash w14:val="solid"/>
            <w14:miter w14:lim="400000"/>
          </w14:textOutline>
        </w:rPr>
      </w:pPr>
    </w:p>
    <w:p w14:paraId="73C49AA3" w14:textId="77777777" w:rsidR="00137DF8" w:rsidRPr="0021328C" w:rsidRDefault="0024621C">
      <w:pPr>
        <w:spacing w:after="160" w:line="288" w:lineRule="auto"/>
        <w:rPr>
          <w:rFonts w:ascii="Graphik" w:eastAsia="Graphik" w:hAnsi="Graphik" w:cs="Graphik"/>
          <w:b/>
          <w:bCs/>
          <w:color w:val="000000"/>
          <w:sz w:val="18"/>
          <w:szCs w:val="18"/>
          <w:u w:color="FC6861"/>
          <w:lang w:val="es-ES"/>
          <w14:textOutline w14:w="12700" w14:cap="flat" w14:cmpd="sng" w14:algn="ctr">
            <w14:noFill/>
            <w14:prstDash w14:val="solid"/>
            <w14:miter w14:lim="400000"/>
          </w14:textOutline>
        </w:rPr>
      </w:pPr>
      <w:r w:rsidRPr="0021328C">
        <w:rPr>
          <w:rFonts w:ascii="Graphik" w:hAnsi="Graphik" w:cs="Arial Unicode MS"/>
          <w:b/>
          <w:bCs/>
          <w:color w:val="000000"/>
          <w:sz w:val="18"/>
          <w:szCs w:val="18"/>
          <w:u w:color="FC6861"/>
          <w:lang w:val="es-ES"/>
          <w14:textOutline w14:w="12700" w14:cap="flat" w14:cmpd="sng" w14:algn="ctr">
            <w14:noFill/>
            <w14:prstDash w14:val="solid"/>
            <w14:miter w14:lim="400000"/>
          </w14:textOutline>
        </w:rPr>
        <w:lastRenderedPageBreak/>
        <w:t>Tabula Nr.  3. PEP, kas uzsākta ārzemēs, pabeigšanas taktika</w:t>
      </w: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3244"/>
        <w:gridCol w:w="3243"/>
        <w:gridCol w:w="3243"/>
      </w:tblGrid>
      <w:tr w:rsidR="00137DF8" w14:paraId="7EDFCCAC" w14:textId="77777777">
        <w:trPr>
          <w:trHeight w:val="32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D50A8" w14:textId="77777777" w:rsidR="00137DF8" w:rsidRDefault="0024621C">
            <w:pPr>
              <w:pStyle w:val="Default"/>
              <w:rPr>
                <w:rFonts w:hint="eastAsia"/>
              </w:rPr>
            </w:pPr>
            <w:r>
              <w:rPr>
                <w:b/>
                <w:bCs/>
                <w:sz w:val="12"/>
                <w:szCs w:val="12"/>
                <w:u w:color="000000"/>
              </w:rPr>
              <w:t>Ārzemju scenārijs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C172B" w14:textId="77777777" w:rsidR="00137DF8" w:rsidRDefault="0024621C">
            <w:pPr>
              <w:pStyle w:val="Default"/>
              <w:rPr>
                <w:rFonts w:hint="eastAsia"/>
              </w:rPr>
            </w:pPr>
            <w:r>
              <w:rPr>
                <w:b/>
                <w:bCs/>
                <w:sz w:val="12"/>
                <w:szCs w:val="12"/>
                <w:u w:color="000000"/>
              </w:rPr>
              <w:t>Pēcekspozīcijas profilakses shēma Latvijā</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1BA2A" w14:textId="77777777" w:rsidR="00137DF8" w:rsidRDefault="0024621C">
            <w:pPr>
              <w:pStyle w:val="Default"/>
              <w:rPr>
                <w:rFonts w:hint="eastAsia"/>
              </w:rPr>
            </w:pPr>
            <w:r>
              <w:rPr>
                <w:b/>
                <w:bCs/>
                <w:sz w:val="12"/>
                <w:szCs w:val="12"/>
                <w:u w:color="000000"/>
              </w:rPr>
              <w:t>RIG administrēšana (III ekspozīcijas kategorija vai kontakts ar sikspārni)</w:t>
            </w:r>
          </w:p>
        </w:tc>
      </w:tr>
      <w:tr w:rsidR="00137DF8" w14:paraId="65C8DD78" w14:textId="77777777">
        <w:trPr>
          <w:trHeight w:val="48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BE695" w14:textId="77777777" w:rsidR="00137DF8" w:rsidRDefault="0024621C">
            <w:pPr>
              <w:pStyle w:val="Default"/>
              <w:rPr>
                <w:rFonts w:hint="eastAsia"/>
              </w:rPr>
            </w:pPr>
            <w:r>
              <w:rPr>
                <w:sz w:val="12"/>
                <w:szCs w:val="12"/>
                <w:u w:color="000000"/>
              </w:rPr>
              <w:t>Persona saņēmusi nervu audu trakumsērgas vakcīnu</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9C4F6" w14:textId="77777777" w:rsidR="00137DF8" w:rsidRDefault="0024621C">
            <w:pPr>
              <w:pStyle w:val="Default"/>
              <w:rPr>
                <w:rFonts w:hint="eastAsia"/>
              </w:rPr>
            </w:pPr>
            <w:r>
              <w:rPr>
                <w:sz w:val="12"/>
                <w:szCs w:val="12"/>
                <w:u w:color="000000"/>
              </w:rPr>
              <w:t>PEP uzsākama no jauna ar vistu embriju vai šūnu kultūru trakumsērgas vakcīnām</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5DB3F" w14:textId="77777777" w:rsidR="00137DF8" w:rsidRDefault="0024621C">
            <w:pPr>
              <w:pStyle w:val="Default"/>
              <w:rPr>
                <w:rFonts w:hint="eastAsia"/>
              </w:rPr>
            </w:pPr>
            <w:r>
              <w:rPr>
                <w:sz w:val="12"/>
                <w:szCs w:val="12"/>
                <w:u w:color="000000"/>
              </w:rPr>
              <w:t>Ievadīt RIG, ja tas ir indicēts un nav izdarīts ārzemēs, un, ja kopš pirmās vakcīnas ievades devas nav pagājušas vairāk kā 168 stundas jeb 7 dienas</w:t>
            </w:r>
          </w:p>
        </w:tc>
      </w:tr>
      <w:tr w:rsidR="00137DF8" w14:paraId="5891F5FF"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3FC6" w14:textId="77777777" w:rsidR="00137DF8" w:rsidRDefault="0024621C">
            <w:pPr>
              <w:pStyle w:val="Default"/>
              <w:rPr>
                <w:rFonts w:hint="eastAsia"/>
              </w:rPr>
            </w:pPr>
            <w:r>
              <w:rPr>
                <w:sz w:val="12"/>
                <w:szCs w:val="12"/>
                <w:u w:color="000000"/>
              </w:rPr>
              <w:t>Nav datu par ievadīto vakcīnu vai RIG, vai dokumentācija aizpildīta nepilnīgi</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C8073" w14:textId="77777777" w:rsidR="00137DF8" w:rsidRDefault="0024621C">
            <w:pPr>
              <w:pStyle w:val="Default"/>
              <w:rPr>
                <w:rFonts w:hint="eastAsia"/>
              </w:rPr>
            </w:pPr>
            <w:r>
              <w:rPr>
                <w:sz w:val="12"/>
                <w:szCs w:val="12"/>
                <w:u w:color="000000"/>
              </w:rPr>
              <w:t>PEP uzsākama no jauna ar vistu embriju vai šūnu kultūru trakumsērgas vakcīnām</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87660" w14:textId="77777777" w:rsidR="00137DF8" w:rsidRDefault="0024621C">
            <w:pPr>
              <w:pStyle w:val="Default"/>
              <w:rPr>
                <w:rFonts w:hint="eastAsia"/>
              </w:rPr>
            </w:pPr>
            <w:r>
              <w:rPr>
                <w:sz w:val="12"/>
                <w:szCs w:val="12"/>
                <w:u w:color="000000"/>
              </w:rPr>
              <w:t>Pieņemt, ka RIG nav ievadīts. Ievadīt RIG, ja tas ir indicēts un nav izdarīts ārzemēs, un, ja kopš pirmās vakcīnas ievades devas nav pagājušas vairāk kā 168 stundas jeb 7 dienas</w:t>
            </w:r>
          </w:p>
        </w:tc>
      </w:tr>
      <w:tr w:rsidR="00137DF8" w14:paraId="62E26429" w14:textId="77777777">
        <w:trPr>
          <w:trHeight w:val="32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72F85" w14:textId="77777777" w:rsidR="00137DF8" w:rsidRDefault="0024621C">
            <w:pPr>
              <w:pStyle w:val="Default"/>
              <w:rPr>
                <w:rFonts w:hint="eastAsia"/>
              </w:rPr>
            </w:pPr>
            <w:r>
              <w:rPr>
                <w:sz w:val="12"/>
                <w:szCs w:val="12"/>
                <w:u w:color="000000"/>
              </w:rPr>
              <w:t>Precīzi dokumentēti dati. Ievadīts RIG, ievadītas vakcīnas (ID vai IM)</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6F322" w14:textId="77777777" w:rsidR="00137DF8" w:rsidRDefault="0024621C">
            <w:pPr>
              <w:pStyle w:val="Default"/>
              <w:rPr>
                <w:rFonts w:hint="eastAsia"/>
              </w:rPr>
            </w:pPr>
            <w:r>
              <w:rPr>
                <w:sz w:val="12"/>
                <w:szCs w:val="12"/>
                <w:u w:color="000000"/>
              </w:rPr>
              <w:t>PEP turpināt atbilstoši standarta shēmai, ja tas nepieciešams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AA35E4" w14:textId="77777777" w:rsidR="00137DF8" w:rsidRDefault="0024621C">
            <w:pPr>
              <w:pStyle w:val="Default"/>
              <w:rPr>
                <w:rFonts w:hint="eastAsia"/>
              </w:rPr>
            </w:pPr>
            <w:r>
              <w:rPr>
                <w:sz w:val="12"/>
                <w:szCs w:val="12"/>
                <w:u w:color="000000"/>
              </w:rPr>
              <w:t>RIG ievade nav nepieciešama</w:t>
            </w:r>
          </w:p>
        </w:tc>
      </w:tr>
      <w:tr w:rsidR="00137DF8" w14:paraId="084603E5"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96E4F" w14:textId="77777777" w:rsidR="00137DF8" w:rsidRDefault="0024621C">
            <w:pPr>
              <w:pStyle w:val="Default"/>
              <w:rPr>
                <w:rFonts w:hint="eastAsia"/>
              </w:rPr>
            </w:pPr>
            <w:r>
              <w:rPr>
                <w:sz w:val="12"/>
                <w:szCs w:val="12"/>
                <w:u w:color="000000"/>
              </w:rPr>
              <w:t>Precīzi dokumentē</w:t>
            </w:r>
            <w:r>
              <w:rPr>
                <w:sz w:val="12"/>
                <w:szCs w:val="12"/>
                <w:u w:color="000000"/>
                <w:lang w:val="it-IT"/>
              </w:rPr>
              <w:t>ti dati. Persona sa</w:t>
            </w:r>
            <w:r>
              <w:rPr>
                <w:sz w:val="12"/>
                <w:szCs w:val="12"/>
                <w:u w:color="000000"/>
              </w:rPr>
              <w:t>ņēmusi 2 vakcī</w:t>
            </w:r>
            <w:r>
              <w:rPr>
                <w:sz w:val="12"/>
                <w:szCs w:val="12"/>
                <w:u w:color="000000"/>
                <w:lang w:val="pt-PT"/>
              </w:rPr>
              <w:t>nas devas 0.</w:t>
            </w:r>
            <w:r>
              <w:rPr>
                <w:sz w:val="12"/>
                <w:szCs w:val="12"/>
                <w:u w:color="000000"/>
              </w:rPr>
              <w:t xml:space="preserve"> </w:t>
            </w:r>
            <w:r>
              <w:rPr>
                <w:sz w:val="12"/>
                <w:szCs w:val="12"/>
                <w:u w:color="000000"/>
                <w:lang w:val="de-DE"/>
              </w:rPr>
              <w:t>dien</w:t>
            </w:r>
            <w:r>
              <w:rPr>
                <w:sz w:val="12"/>
                <w:szCs w:val="12"/>
                <w:u w:color="000000"/>
              </w:rPr>
              <w:t>ā ID (</w:t>
            </w:r>
            <w:r>
              <w:rPr>
                <w:i/>
                <w:iCs/>
                <w:sz w:val="12"/>
                <w:szCs w:val="12"/>
                <w:u w:color="000000"/>
              </w:rPr>
              <w:t>Institut Pasteur du Cambodge</w:t>
            </w:r>
            <w:r>
              <w:rPr>
                <w:sz w:val="12"/>
                <w:szCs w:val="12"/>
                <w:u w:color="000000"/>
              </w:rPr>
              <w:t xml:space="preserve">/atjaunota </w:t>
            </w:r>
            <w:r>
              <w:rPr>
                <w:i/>
                <w:iCs/>
                <w:sz w:val="12"/>
                <w:szCs w:val="12"/>
                <w:u w:color="000000"/>
              </w:rPr>
              <w:t>Thai Red Cross</w:t>
            </w:r>
            <w:r>
              <w:rPr>
                <w:sz w:val="12"/>
                <w:szCs w:val="12"/>
                <w:u w:color="000000"/>
              </w:rPr>
              <w:t xml:space="preserve"> shēma). RIG ir/nav saņ</w:t>
            </w:r>
            <w:r>
              <w:rPr>
                <w:sz w:val="12"/>
                <w:szCs w:val="12"/>
                <w:u w:color="000000"/>
                <w:lang w:val="de-DE"/>
              </w:rPr>
              <w:t>emts dien</w:t>
            </w:r>
            <w:r>
              <w:rPr>
                <w:sz w:val="12"/>
                <w:szCs w:val="12"/>
                <w:u w:color="000000"/>
              </w:rPr>
              <w:t>ā, kad ievadī</w:t>
            </w:r>
            <w:r>
              <w:rPr>
                <w:sz w:val="12"/>
                <w:szCs w:val="12"/>
                <w:u w:color="000000"/>
                <w:lang w:val="it-IT"/>
              </w:rPr>
              <w:t>ta pirm</w:t>
            </w:r>
            <w:r>
              <w:rPr>
                <w:sz w:val="12"/>
                <w:szCs w:val="12"/>
                <w:u w:color="000000"/>
              </w:rPr>
              <w:t>ā vakcī</w:t>
            </w:r>
            <w:r>
              <w:rPr>
                <w:sz w:val="12"/>
                <w:szCs w:val="12"/>
                <w:u w:color="000000"/>
                <w:lang w:val="pt-PT"/>
              </w:rPr>
              <w:t>nas deva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799861" w14:textId="77777777" w:rsidR="00137DF8" w:rsidRDefault="0024621C">
            <w:pPr>
              <w:pStyle w:val="Default"/>
              <w:rPr>
                <w:rFonts w:hint="eastAsia"/>
              </w:rPr>
            </w:pPr>
            <w:r>
              <w:rPr>
                <w:sz w:val="12"/>
                <w:szCs w:val="12"/>
                <w:u w:color="000000"/>
              </w:rPr>
              <w:t>Ievadīt 1 vakcīnas devu IM 3., 7. un 14. dienā</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78640" w14:textId="77777777" w:rsidR="00137DF8" w:rsidRDefault="0024621C">
            <w:pPr>
              <w:pStyle w:val="Default"/>
              <w:rPr>
                <w:rFonts w:hint="eastAsia"/>
              </w:rPr>
            </w:pPr>
            <w:r>
              <w:rPr>
                <w:sz w:val="12"/>
                <w:szCs w:val="12"/>
                <w:u w:color="000000"/>
              </w:rPr>
              <w:t>Ievadīt RIG, ja tas ir indicēts un nav izdarīts ārzemēs, un, ja kopš pirmās vakcīnas ievades devas nav pagājušas vairāk kā 168 stundas jeb 7 dienas</w:t>
            </w:r>
          </w:p>
        </w:tc>
      </w:tr>
      <w:tr w:rsidR="00137DF8" w14:paraId="486499FE"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1015FA" w14:textId="77777777" w:rsidR="00137DF8" w:rsidRDefault="0024621C">
            <w:pPr>
              <w:pStyle w:val="Default"/>
              <w:rPr>
                <w:rFonts w:hint="eastAsia"/>
              </w:rPr>
            </w:pPr>
            <w:r>
              <w:rPr>
                <w:sz w:val="12"/>
                <w:szCs w:val="12"/>
                <w:u w:color="000000"/>
              </w:rPr>
              <w:t>Precīzi dokumentē</w:t>
            </w:r>
            <w:r>
              <w:rPr>
                <w:sz w:val="12"/>
                <w:szCs w:val="12"/>
                <w:u w:color="000000"/>
                <w:lang w:val="it-IT"/>
              </w:rPr>
              <w:t>ti dati. Persona sa</w:t>
            </w:r>
            <w:r>
              <w:rPr>
                <w:sz w:val="12"/>
                <w:szCs w:val="12"/>
                <w:u w:color="000000"/>
              </w:rPr>
              <w:t>ņēmusi pa 2 vakcī</w:t>
            </w:r>
            <w:r>
              <w:rPr>
                <w:sz w:val="12"/>
                <w:szCs w:val="12"/>
                <w:u w:color="000000"/>
                <w:lang w:val="pt-PT"/>
              </w:rPr>
              <w:t>nas dev</w:t>
            </w:r>
            <w:r>
              <w:rPr>
                <w:sz w:val="12"/>
                <w:szCs w:val="12"/>
                <w:u w:color="000000"/>
              </w:rPr>
              <w:t>ā</w:t>
            </w:r>
            <w:r>
              <w:rPr>
                <w:sz w:val="12"/>
                <w:szCs w:val="12"/>
                <w:u w:color="000000"/>
                <w:lang w:val="it-IT"/>
              </w:rPr>
              <w:t>m 0. un 3.</w:t>
            </w:r>
            <w:r>
              <w:rPr>
                <w:sz w:val="12"/>
                <w:szCs w:val="12"/>
                <w:u w:color="000000"/>
              </w:rPr>
              <w:t xml:space="preserve"> </w:t>
            </w:r>
            <w:r>
              <w:rPr>
                <w:sz w:val="12"/>
                <w:szCs w:val="12"/>
                <w:u w:color="000000"/>
                <w:lang w:val="de-DE"/>
              </w:rPr>
              <w:t>dien</w:t>
            </w:r>
            <w:r>
              <w:rPr>
                <w:sz w:val="12"/>
                <w:szCs w:val="12"/>
                <w:u w:color="000000"/>
              </w:rPr>
              <w:t>ā ID (</w:t>
            </w:r>
            <w:r>
              <w:rPr>
                <w:i/>
                <w:iCs/>
                <w:sz w:val="12"/>
                <w:szCs w:val="12"/>
                <w:u w:color="000000"/>
              </w:rPr>
              <w:t>Institut Pasteur du Cambodge</w:t>
            </w:r>
            <w:r>
              <w:rPr>
                <w:sz w:val="12"/>
                <w:szCs w:val="12"/>
                <w:u w:color="000000"/>
              </w:rPr>
              <w:t xml:space="preserve">/atjaunota </w:t>
            </w:r>
            <w:r>
              <w:rPr>
                <w:i/>
                <w:iCs/>
                <w:sz w:val="12"/>
                <w:szCs w:val="12"/>
                <w:u w:color="000000"/>
              </w:rPr>
              <w:t>Thai Red Cross</w:t>
            </w:r>
            <w:r>
              <w:rPr>
                <w:sz w:val="12"/>
                <w:szCs w:val="12"/>
                <w:u w:color="000000"/>
              </w:rPr>
              <w:t xml:space="preserve"> shēma). RIG ir/nav saņ</w:t>
            </w:r>
            <w:r>
              <w:rPr>
                <w:sz w:val="12"/>
                <w:szCs w:val="12"/>
                <w:u w:color="000000"/>
                <w:lang w:val="de-DE"/>
              </w:rPr>
              <w:t>emts dien</w:t>
            </w:r>
            <w:r>
              <w:rPr>
                <w:sz w:val="12"/>
                <w:szCs w:val="12"/>
                <w:u w:color="000000"/>
              </w:rPr>
              <w:t>ā, kad ievadī</w:t>
            </w:r>
            <w:r>
              <w:rPr>
                <w:sz w:val="12"/>
                <w:szCs w:val="12"/>
                <w:u w:color="000000"/>
                <w:lang w:val="it-IT"/>
              </w:rPr>
              <w:t>ta pirm</w:t>
            </w:r>
            <w:r>
              <w:rPr>
                <w:sz w:val="12"/>
                <w:szCs w:val="12"/>
                <w:u w:color="000000"/>
              </w:rPr>
              <w:t>ā vakcī</w:t>
            </w:r>
            <w:r>
              <w:rPr>
                <w:sz w:val="12"/>
                <w:szCs w:val="12"/>
                <w:u w:color="000000"/>
                <w:lang w:val="pt-PT"/>
              </w:rPr>
              <w:t>nas deva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7CA9F" w14:textId="77777777" w:rsidR="00137DF8" w:rsidRDefault="0024621C">
            <w:pPr>
              <w:pStyle w:val="Default"/>
              <w:rPr>
                <w:rFonts w:hint="eastAsia"/>
              </w:rPr>
            </w:pPr>
            <w:r>
              <w:rPr>
                <w:sz w:val="12"/>
                <w:szCs w:val="12"/>
                <w:u w:color="000000"/>
              </w:rPr>
              <w:t>Ievadīt 1 vakcīnas devu IM 7. un 14. dienā</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51572" w14:textId="77777777" w:rsidR="00137DF8" w:rsidRDefault="0024621C">
            <w:pPr>
              <w:pStyle w:val="Default"/>
              <w:rPr>
                <w:rFonts w:hint="eastAsia"/>
              </w:rPr>
            </w:pPr>
            <w:r>
              <w:rPr>
                <w:sz w:val="12"/>
                <w:szCs w:val="12"/>
                <w:u w:color="000000"/>
              </w:rPr>
              <w:t>Ievadīt RIG, ja tas ir indicēts un nav izdarīts ārzemēs, un, ja kopš pirmās vakcīnas ievades devas nav pagājušas vairāk kā 168 stundas jeb 7 dienas</w:t>
            </w:r>
          </w:p>
        </w:tc>
      </w:tr>
      <w:tr w:rsidR="00137DF8" w14:paraId="4EC598BC"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48E79" w14:textId="77777777" w:rsidR="00137DF8" w:rsidRDefault="0024621C">
            <w:pPr>
              <w:pStyle w:val="Default"/>
              <w:rPr>
                <w:rFonts w:hint="eastAsia"/>
              </w:rPr>
            </w:pPr>
            <w:r>
              <w:rPr>
                <w:sz w:val="12"/>
                <w:szCs w:val="12"/>
                <w:u w:color="000000"/>
              </w:rPr>
              <w:t>Precīzi dokumentē</w:t>
            </w:r>
            <w:r>
              <w:rPr>
                <w:sz w:val="12"/>
                <w:szCs w:val="12"/>
                <w:u w:color="000000"/>
                <w:lang w:val="it-IT"/>
              </w:rPr>
              <w:t>ti dati. Persona sa</w:t>
            </w:r>
            <w:r>
              <w:rPr>
                <w:sz w:val="12"/>
                <w:szCs w:val="12"/>
                <w:u w:color="000000"/>
              </w:rPr>
              <w:t>ņēmusi pa 2 vakcī</w:t>
            </w:r>
            <w:r>
              <w:rPr>
                <w:sz w:val="12"/>
                <w:szCs w:val="12"/>
                <w:u w:color="000000"/>
                <w:lang w:val="pt-PT"/>
              </w:rPr>
              <w:t>nas dev</w:t>
            </w:r>
            <w:r>
              <w:rPr>
                <w:sz w:val="12"/>
                <w:szCs w:val="12"/>
                <w:u w:color="000000"/>
              </w:rPr>
              <w:t xml:space="preserve">ām 0., 3. un 7. </w:t>
            </w:r>
            <w:r>
              <w:rPr>
                <w:sz w:val="12"/>
                <w:szCs w:val="12"/>
                <w:u w:color="000000"/>
                <w:lang w:val="de-DE"/>
              </w:rPr>
              <w:t>dien</w:t>
            </w:r>
            <w:r>
              <w:rPr>
                <w:sz w:val="12"/>
                <w:szCs w:val="12"/>
                <w:u w:color="000000"/>
              </w:rPr>
              <w:t>ā (</w:t>
            </w:r>
            <w:r>
              <w:rPr>
                <w:i/>
                <w:iCs/>
                <w:sz w:val="12"/>
                <w:szCs w:val="12"/>
                <w:u w:color="000000"/>
              </w:rPr>
              <w:t>Institut Pasteur du Cambodge</w:t>
            </w:r>
            <w:r>
              <w:rPr>
                <w:sz w:val="12"/>
                <w:szCs w:val="12"/>
                <w:u w:color="000000"/>
              </w:rPr>
              <w:t xml:space="preserve">/atjaunota </w:t>
            </w:r>
            <w:r>
              <w:rPr>
                <w:i/>
                <w:iCs/>
                <w:sz w:val="12"/>
                <w:szCs w:val="12"/>
                <w:u w:color="000000"/>
              </w:rPr>
              <w:t>Thai Red Cross</w:t>
            </w:r>
            <w:r>
              <w:rPr>
                <w:sz w:val="12"/>
                <w:szCs w:val="12"/>
                <w:u w:color="000000"/>
              </w:rPr>
              <w:t xml:space="preserve"> shēma). RIG ir/nav saņ</w:t>
            </w:r>
            <w:r>
              <w:rPr>
                <w:sz w:val="12"/>
                <w:szCs w:val="12"/>
                <w:u w:color="000000"/>
                <w:lang w:val="de-DE"/>
              </w:rPr>
              <w:t>emts dien</w:t>
            </w:r>
            <w:r>
              <w:rPr>
                <w:sz w:val="12"/>
                <w:szCs w:val="12"/>
                <w:u w:color="000000"/>
              </w:rPr>
              <w:t>ā, kad ievadī</w:t>
            </w:r>
            <w:r>
              <w:rPr>
                <w:sz w:val="12"/>
                <w:szCs w:val="12"/>
                <w:u w:color="000000"/>
                <w:lang w:val="it-IT"/>
              </w:rPr>
              <w:t>ta pirm</w:t>
            </w:r>
            <w:r>
              <w:rPr>
                <w:sz w:val="12"/>
                <w:szCs w:val="12"/>
                <w:u w:color="000000"/>
              </w:rPr>
              <w:t>ā vakcī</w:t>
            </w:r>
            <w:r>
              <w:rPr>
                <w:sz w:val="12"/>
                <w:szCs w:val="12"/>
                <w:u w:color="000000"/>
                <w:lang w:val="pt-PT"/>
              </w:rPr>
              <w:t>nas deva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8A92B2" w14:textId="77777777" w:rsidR="00137DF8" w:rsidRDefault="0024621C">
            <w:pPr>
              <w:pStyle w:val="Default"/>
              <w:rPr>
                <w:rFonts w:hint="eastAsia"/>
              </w:rPr>
            </w:pPr>
            <w:r>
              <w:rPr>
                <w:sz w:val="12"/>
                <w:szCs w:val="12"/>
                <w:u w:color="000000"/>
              </w:rPr>
              <w:t xml:space="preserve">Ievadīt 1 vakcīnas devu IM 21. dienā </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A8F3A" w14:textId="77777777" w:rsidR="00137DF8" w:rsidRDefault="0024621C">
            <w:pPr>
              <w:pStyle w:val="Default"/>
              <w:rPr>
                <w:rFonts w:hint="eastAsia"/>
              </w:rPr>
            </w:pPr>
            <w:r>
              <w:rPr>
                <w:sz w:val="12"/>
                <w:szCs w:val="12"/>
                <w:u w:color="000000"/>
              </w:rPr>
              <w:t>RIG ievade nav nepieciešama</w:t>
            </w:r>
          </w:p>
        </w:tc>
      </w:tr>
      <w:tr w:rsidR="00137DF8" w:rsidRPr="009019B2" w14:paraId="37125739"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13719" w14:textId="77777777" w:rsidR="00137DF8" w:rsidRDefault="0024621C">
            <w:pPr>
              <w:pStyle w:val="Default"/>
              <w:rPr>
                <w:rFonts w:hint="eastAsia"/>
              </w:rPr>
            </w:pPr>
            <w:r>
              <w:rPr>
                <w:sz w:val="12"/>
                <w:szCs w:val="12"/>
                <w:u w:color="000000"/>
              </w:rPr>
              <w:t>Precīzi dokumentē</w:t>
            </w:r>
            <w:r>
              <w:rPr>
                <w:sz w:val="12"/>
                <w:szCs w:val="12"/>
                <w:u w:color="000000"/>
                <w:lang w:val="it-IT"/>
              </w:rPr>
              <w:t>ti dati. Persona sa</w:t>
            </w:r>
            <w:r>
              <w:rPr>
                <w:sz w:val="12"/>
                <w:szCs w:val="12"/>
                <w:u w:color="000000"/>
              </w:rPr>
              <w:t>ņēmusi 1 vakcī</w:t>
            </w:r>
            <w:r>
              <w:rPr>
                <w:sz w:val="12"/>
                <w:szCs w:val="12"/>
                <w:u w:color="000000"/>
                <w:lang w:val="pt-PT"/>
              </w:rPr>
              <w:t>nas devu 0. un 3.</w:t>
            </w:r>
            <w:r>
              <w:rPr>
                <w:sz w:val="12"/>
                <w:szCs w:val="12"/>
                <w:u w:color="000000"/>
              </w:rPr>
              <w:t xml:space="preserve"> </w:t>
            </w:r>
            <w:r>
              <w:rPr>
                <w:sz w:val="12"/>
                <w:szCs w:val="12"/>
                <w:u w:color="000000"/>
                <w:lang w:val="de-DE"/>
              </w:rPr>
              <w:t>dien</w:t>
            </w:r>
            <w:r>
              <w:rPr>
                <w:sz w:val="12"/>
                <w:szCs w:val="12"/>
                <w:u w:color="000000"/>
              </w:rPr>
              <w:t>ā IM (</w:t>
            </w:r>
            <w:r>
              <w:rPr>
                <w:i/>
                <w:iCs/>
                <w:sz w:val="12"/>
                <w:szCs w:val="12"/>
                <w:u w:color="000000"/>
                <w:lang w:val="de-DE"/>
              </w:rPr>
              <w:t>Essen</w:t>
            </w:r>
            <w:r>
              <w:rPr>
                <w:sz w:val="12"/>
                <w:szCs w:val="12"/>
                <w:u w:color="000000"/>
                <w:lang w:val="it-IT"/>
              </w:rPr>
              <w:t>/modific</w:t>
            </w:r>
            <w:r>
              <w:rPr>
                <w:sz w:val="12"/>
                <w:szCs w:val="12"/>
                <w:u w:color="000000"/>
              </w:rPr>
              <w:t xml:space="preserve">ēta </w:t>
            </w:r>
            <w:r>
              <w:rPr>
                <w:i/>
                <w:iCs/>
                <w:sz w:val="12"/>
                <w:szCs w:val="12"/>
                <w:u w:color="000000"/>
                <w:lang w:val="de-DE"/>
              </w:rPr>
              <w:t>Essen</w:t>
            </w:r>
            <w:r>
              <w:rPr>
                <w:sz w:val="12"/>
                <w:szCs w:val="12"/>
                <w:u w:color="000000"/>
              </w:rPr>
              <w:t xml:space="preserve"> shēma). RIG ir/nav saņ</w:t>
            </w:r>
            <w:r>
              <w:rPr>
                <w:sz w:val="12"/>
                <w:szCs w:val="12"/>
                <w:u w:color="000000"/>
                <w:lang w:val="de-DE"/>
              </w:rPr>
              <w:t>emts dien</w:t>
            </w:r>
            <w:r>
              <w:rPr>
                <w:sz w:val="12"/>
                <w:szCs w:val="12"/>
                <w:u w:color="000000"/>
              </w:rPr>
              <w:t>ā, kad ievadī</w:t>
            </w:r>
            <w:r>
              <w:rPr>
                <w:sz w:val="12"/>
                <w:szCs w:val="12"/>
                <w:u w:color="000000"/>
                <w:lang w:val="it-IT"/>
              </w:rPr>
              <w:t>ta pirm</w:t>
            </w:r>
            <w:r>
              <w:rPr>
                <w:sz w:val="12"/>
                <w:szCs w:val="12"/>
                <w:u w:color="000000"/>
              </w:rPr>
              <w:t>ā vakcī</w:t>
            </w:r>
            <w:r>
              <w:rPr>
                <w:sz w:val="12"/>
                <w:szCs w:val="12"/>
                <w:u w:color="000000"/>
                <w:lang w:val="pt-PT"/>
              </w:rPr>
              <w:t>nas deva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B628B" w14:textId="77777777" w:rsidR="00137DF8" w:rsidRPr="0021328C" w:rsidRDefault="0024621C">
            <w:pPr>
              <w:pStyle w:val="Default"/>
              <w:rPr>
                <w:rFonts w:hint="eastAsia"/>
                <w:lang w:val="es-ES"/>
              </w:rPr>
            </w:pPr>
            <w:r w:rsidRPr="0021328C">
              <w:rPr>
                <w:sz w:val="12"/>
                <w:szCs w:val="12"/>
                <w:u w:color="000000"/>
                <w:lang w:val="es-ES"/>
              </w:rPr>
              <w:t>Ievadīt 1 vakcīnas devu IM 7. un 14. dienā. Ja persona ir imūnkompromitēta, nepieciešama papildus deva 28.dienā</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04BA1" w14:textId="77777777" w:rsidR="00137DF8" w:rsidRPr="0021328C" w:rsidRDefault="0024621C">
            <w:pPr>
              <w:pStyle w:val="Default"/>
              <w:rPr>
                <w:rFonts w:hint="eastAsia"/>
                <w:lang w:val="es-ES"/>
              </w:rPr>
            </w:pPr>
            <w:r w:rsidRPr="0021328C">
              <w:rPr>
                <w:sz w:val="12"/>
                <w:szCs w:val="12"/>
                <w:u w:color="000000"/>
                <w:lang w:val="es-ES"/>
              </w:rPr>
              <w:t>Ievadīt RIG, ja tas ir indicēts un nav izdarīts ārzemēs, un, ja kopš pirmās vakcīnas ievades devas nav pagājušas vairāk kā 168 stundas jeb 7 dienas</w:t>
            </w:r>
          </w:p>
        </w:tc>
      </w:tr>
      <w:tr w:rsidR="00137DF8" w:rsidRPr="009019B2" w14:paraId="74759481" w14:textId="77777777">
        <w:trPr>
          <w:trHeight w:val="48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90996" w14:textId="77777777" w:rsidR="00137DF8" w:rsidRPr="0021328C" w:rsidRDefault="0024621C">
            <w:pPr>
              <w:pStyle w:val="Default"/>
              <w:rPr>
                <w:rFonts w:hint="eastAsia"/>
                <w:lang w:val="es-ES"/>
              </w:rPr>
            </w:pPr>
            <w:r w:rsidRPr="0021328C">
              <w:rPr>
                <w:sz w:val="12"/>
                <w:szCs w:val="12"/>
                <w:u w:color="000000"/>
                <w:lang w:val="es-ES"/>
              </w:rPr>
              <w:t>Precīzi dokumentē</w:t>
            </w:r>
            <w:r>
              <w:rPr>
                <w:sz w:val="12"/>
                <w:szCs w:val="12"/>
                <w:u w:color="000000"/>
                <w:lang w:val="it-IT"/>
              </w:rPr>
              <w:t>ti dati. Persona sa</w:t>
            </w:r>
            <w:r w:rsidRPr="0021328C">
              <w:rPr>
                <w:sz w:val="12"/>
                <w:szCs w:val="12"/>
                <w:u w:color="000000"/>
                <w:lang w:val="es-ES"/>
              </w:rPr>
              <w:t>ņēmusi 2 vakcī</w:t>
            </w:r>
            <w:r>
              <w:rPr>
                <w:sz w:val="12"/>
                <w:szCs w:val="12"/>
                <w:u w:color="000000"/>
                <w:lang w:val="pt-PT"/>
              </w:rPr>
              <w:t>nas devas 0.</w:t>
            </w:r>
            <w:r w:rsidRPr="0021328C">
              <w:rPr>
                <w:sz w:val="12"/>
                <w:szCs w:val="12"/>
                <w:u w:color="000000"/>
                <w:lang w:val="es-ES"/>
              </w:rPr>
              <w:t xml:space="preserve"> </w:t>
            </w:r>
            <w:r>
              <w:rPr>
                <w:sz w:val="12"/>
                <w:szCs w:val="12"/>
                <w:u w:color="000000"/>
                <w:lang w:val="de-DE"/>
              </w:rPr>
              <w:t>dien</w:t>
            </w:r>
            <w:r w:rsidRPr="0021328C">
              <w:rPr>
                <w:sz w:val="12"/>
                <w:szCs w:val="12"/>
                <w:u w:color="000000"/>
                <w:lang w:val="es-ES"/>
              </w:rPr>
              <w:t>ā IM (</w:t>
            </w:r>
            <w:r w:rsidRPr="0021328C">
              <w:rPr>
                <w:i/>
                <w:iCs/>
                <w:sz w:val="12"/>
                <w:szCs w:val="12"/>
                <w:u w:color="000000"/>
                <w:lang w:val="es-ES"/>
              </w:rPr>
              <w:t>Zagreb</w:t>
            </w:r>
            <w:r w:rsidRPr="0021328C">
              <w:rPr>
                <w:sz w:val="12"/>
                <w:szCs w:val="12"/>
                <w:u w:color="000000"/>
                <w:lang w:val="es-ES"/>
              </w:rPr>
              <w:t xml:space="preserve"> shēma). RIG ir/nav saņ</w:t>
            </w:r>
            <w:r>
              <w:rPr>
                <w:sz w:val="12"/>
                <w:szCs w:val="12"/>
                <w:u w:color="000000"/>
                <w:lang w:val="de-DE"/>
              </w:rPr>
              <w:t>emts dien</w:t>
            </w:r>
            <w:r w:rsidRPr="0021328C">
              <w:rPr>
                <w:sz w:val="12"/>
                <w:szCs w:val="12"/>
                <w:u w:color="000000"/>
                <w:lang w:val="es-ES"/>
              </w:rPr>
              <w:t>ā, kad ievadī</w:t>
            </w:r>
            <w:r>
              <w:rPr>
                <w:sz w:val="12"/>
                <w:szCs w:val="12"/>
                <w:u w:color="000000"/>
                <w:lang w:val="it-IT"/>
              </w:rPr>
              <w:t>ta pirm</w:t>
            </w:r>
            <w:r w:rsidRPr="0021328C">
              <w:rPr>
                <w:sz w:val="12"/>
                <w:szCs w:val="12"/>
                <w:u w:color="000000"/>
                <w:lang w:val="es-ES"/>
              </w:rPr>
              <w:t>ā vakcī</w:t>
            </w:r>
            <w:r>
              <w:rPr>
                <w:sz w:val="12"/>
                <w:szCs w:val="12"/>
                <w:u w:color="000000"/>
                <w:lang w:val="pt-PT"/>
              </w:rPr>
              <w:t>nas deva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19E33" w14:textId="77777777" w:rsidR="00137DF8" w:rsidRPr="0021328C" w:rsidRDefault="0024621C">
            <w:pPr>
              <w:pStyle w:val="Default"/>
              <w:rPr>
                <w:rFonts w:hint="eastAsia"/>
                <w:lang w:val="es-ES"/>
              </w:rPr>
            </w:pPr>
            <w:r w:rsidRPr="0021328C">
              <w:rPr>
                <w:sz w:val="12"/>
                <w:szCs w:val="12"/>
                <w:u w:color="000000"/>
                <w:lang w:val="es-ES"/>
              </w:rPr>
              <w:t>Ievadīt 1 vakcīnas devu IM 7. un 14. dienā. Ja persona ir imūnkompromitēta, nepieciešama papildus deva 28.dienā</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7EFB24" w14:textId="77777777" w:rsidR="00137DF8" w:rsidRPr="0021328C" w:rsidRDefault="0024621C">
            <w:pPr>
              <w:pStyle w:val="Default"/>
              <w:rPr>
                <w:rFonts w:hint="eastAsia"/>
                <w:lang w:val="es-ES"/>
              </w:rPr>
            </w:pPr>
            <w:r w:rsidRPr="0021328C">
              <w:rPr>
                <w:sz w:val="12"/>
                <w:szCs w:val="12"/>
                <w:u w:color="000000"/>
                <w:lang w:val="es-ES"/>
              </w:rPr>
              <w:t>Ievadīt RIG, ja tas ir indicēts un nav izdarīts ārzemēs, un, ja kopš pirmās vakcīnas ievades devas nav pagājušas vairāk kā 168 stundas jeb 7 dienas</w:t>
            </w:r>
          </w:p>
        </w:tc>
      </w:tr>
      <w:tr w:rsidR="00137DF8" w14:paraId="78BCE5E1" w14:textId="77777777">
        <w:trPr>
          <w:trHeight w:val="64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EFF97" w14:textId="77777777" w:rsidR="00137DF8" w:rsidRPr="0021328C" w:rsidRDefault="0024621C">
            <w:pPr>
              <w:pStyle w:val="Default"/>
              <w:rPr>
                <w:rFonts w:hint="eastAsia"/>
                <w:lang w:val="es-ES"/>
              </w:rPr>
            </w:pPr>
            <w:r w:rsidRPr="0021328C">
              <w:rPr>
                <w:sz w:val="12"/>
                <w:szCs w:val="12"/>
                <w:u w:color="000000"/>
                <w:lang w:val="es-ES"/>
              </w:rPr>
              <w:t>Persona ir imūnkompromitēta, vakcīnas ievadītas ID</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01EE4" w14:textId="77777777" w:rsidR="00137DF8" w:rsidRDefault="0024621C">
            <w:pPr>
              <w:pStyle w:val="Default"/>
              <w:rPr>
                <w:rFonts w:hint="eastAsia"/>
              </w:rPr>
            </w:pPr>
            <w:r w:rsidRPr="0021328C">
              <w:rPr>
                <w:sz w:val="12"/>
                <w:szCs w:val="12"/>
                <w:u w:color="000000"/>
                <w:lang w:val="es-ES"/>
              </w:rPr>
              <w:t xml:space="preserve">Neatkarīgi no tā, cik ID vakcīnas devas ir ievadītas, nepieciešams IM ievadīt 5 vakcīnas devas, atbilstoši shēmai. </w:t>
            </w:r>
            <w:r>
              <w:rPr>
                <w:sz w:val="12"/>
                <w:szCs w:val="12"/>
                <w:u w:color="000000"/>
              </w:rPr>
              <w:t>2 – 4 nedēļas pēc pēdējās devas saņemšanas nepieciešams noteikt VNAb līmeni</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E0544" w14:textId="77777777" w:rsidR="00137DF8" w:rsidRDefault="0024621C">
            <w:pPr>
              <w:pStyle w:val="Default"/>
              <w:rPr>
                <w:rFonts w:hint="eastAsia"/>
              </w:rPr>
            </w:pPr>
            <w:r>
              <w:rPr>
                <w:sz w:val="12"/>
                <w:szCs w:val="12"/>
                <w:u w:color="000000"/>
              </w:rPr>
              <w:t>Ievadīt RIG, ja tas ir indicēts un nav izdarīts ārzemēs, un, ja kopš pirmās vakcīnas ievades devas nav pagājušas vairāk kā 168 stundas jeb 7 dienas</w:t>
            </w:r>
          </w:p>
        </w:tc>
      </w:tr>
    </w:tbl>
    <w:p w14:paraId="01CBE366" w14:textId="77777777" w:rsidR="00137DF8" w:rsidRDefault="00137DF8">
      <w:pPr>
        <w:pStyle w:val="Default"/>
        <w:spacing w:after="160" w:line="288" w:lineRule="auto"/>
        <w:outlineLvl w:val="0"/>
        <w:rPr>
          <w:rFonts w:hint="eastAsia"/>
          <w:sz w:val="18"/>
          <w:szCs w:val="18"/>
          <w:u w:color="FC6861"/>
          <w14:textOutline w14:w="12700" w14:cap="flat" w14:cmpd="sng" w14:algn="ctr">
            <w14:noFill/>
            <w14:prstDash w14:val="solid"/>
            <w14:miter w14:lim="400000"/>
          </w14:textOutline>
        </w:rPr>
      </w:pPr>
    </w:p>
    <w:p w14:paraId="05DF80DF" w14:textId="77777777" w:rsidR="00137DF8" w:rsidRDefault="0024621C">
      <w:pPr>
        <w:pStyle w:val="Default"/>
        <w:spacing w:after="160" w:line="288" w:lineRule="auto"/>
        <w:outlineLvl w:val="0"/>
        <w:rPr>
          <w:rFonts w:hint="eastAsia"/>
          <w:b/>
          <w:bCs/>
          <w:sz w:val="18"/>
          <w:szCs w:val="18"/>
          <w:u w:color="FC6861"/>
          <w14:textOutline w14:w="12700" w14:cap="flat" w14:cmpd="sng" w14:algn="ctr">
            <w14:noFill/>
            <w14:prstDash w14:val="solid"/>
            <w14:miter w14:lim="400000"/>
          </w14:textOutline>
        </w:rPr>
      </w:pPr>
      <w:r>
        <w:rPr>
          <w:b/>
          <w:bCs/>
          <w:sz w:val="18"/>
          <w:szCs w:val="18"/>
          <w:u w:color="FC6861"/>
          <w14:textOutline w14:w="12700" w14:cap="flat" w14:cmpd="sng" w14:algn="ctr">
            <w14:noFill/>
            <w14:prstDash w14:val="solid"/>
            <w14:miter w14:lim="400000"/>
          </w14:textOutline>
        </w:rPr>
        <w:t>9. Imūnkompromitētās personas</w:t>
      </w:r>
    </w:p>
    <w:p w14:paraId="6A5FA30F"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Pie šīs riska grupas pieder personas, kuru imūnās sistēmas darbība un aktivitāte ir nomākta kā iedzimtu, tā iegūtu slimību gadījumā, kā arī šo slimību ārstēšanā pielietotās terapijas dēļ, vai iegūtu sekundāru imūndeficītu gadījumā, piemēram, ļaundabīgo saslimšanu gadījumā. </w:t>
      </w:r>
    </w:p>
    <w:p w14:paraId="71FF622F"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Sakarā ar imūnās sistēmas nomākumu, šīm personām iespējama nepietiekoša antivielu veidošanās pēc vakcinācijas, tāpēc atsevišķos gadījumos nepieciešama “</w:t>
      </w:r>
      <w:r>
        <w:rPr>
          <w:i/>
          <w:iCs/>
          <w:sz w:val="18"/>
          <w:szCs w:val="18"/>
          <w:u w:color="000000"/>
          <w14:textOutline w14:w="12700" w14:cap="flat" w14:cmpd="sng" w14:algn="ctr">
            <w14:noFill/>
            <w14:prstDash w14:val="solid"/>
            <w14:miter w14:lim="400000"/>
          </w14:textOutline>
        </w:rPr>
        <w:t>booster</w:t>
      </w:r>
      <w:r>
        <w:rPr>
          <w:sz w:val="18"/>
          <w:szCs w:val="18"/>
          <w:u w:color="000000"/>
          <w14:textOutline w14:w="12700" w14:cap="flat" w14:cmpd="sng" w14:algn="ctr">
            <w14:noFill/>
            <w14:prstDash w14:val="solid"/>
            <w14:miter w14:lim="400000"/>
          </w14:textOutline>
        </w:rPr>
        <w:t xml:space="preserve">” jeb balstvakcinācijas deva. Lai izvērtētu balstvakcinācijas devas nepieciešamību, dažām vakcīnregulējamām infekcijām iesaka noteikt antivielu titru pēc vakcinācijas vai jebkurā gadījumā ieteicama konsultācija pie vakcinācijas speciālista. </w:t>
      </w:r>
    </w:p>
    <w:p w14:paraId="6D669DA2" w14:textId="77777777" w:rsidR="00137DF8" w:rsidRDefault="0024621C" w:rsidP="00C0124E">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Par smagi imūnkomprimitētām personām uzskata: </w:t>
      </w:r>
      <w:r>
        <w:rPr>
          <w:sz w:val="18"/>
          <w:szCs w:val="18"/>
          <w:u w:color="000000"/>
          <w14:textOutline w14:w="12700" w14:cap="flat" w14:cmpd="sng" w14:algn="ctr">
            <w14:noFill/>
            <w14:prstDash w14:val="solid"/>
            <w14:miter w14:lim="400000"/>
          </w14:textOutline>
        </w:rPr>
        <w:br/>
        <w:t xml:space="preserve">- personas ar aktīvu leikēmiju vai limfomu, </w:t>
      </w:r>
      <w:r>
        <w:rPr>
          <w:sz w:val="18"/>
          <w:szCs w:val="18"/>
          <w:u w:color="000000"/>
          <w14:textOutline w14:w="12700" w14:cap="flat" w14:cmpd="sng" w14:algn="ctr">
            <w14:noFill/>
            <w14:prstDash w14:val="solid"/>
            <w14:miter w14:lim="400000"/>
          </w14:textOutline>
        </w:rPr>
        <w:br/>
        <w:t xml:space="preserve">- personas ar ģeneralizētu vai izplatītu malignitāti, </w:t>
      </w:r>
      <w:r>
        <w:rPr>
          <w:sz w:val="18"/>
          <w:szCs w:val="18"/>
          <w:u w:color="000000"/>
          <w14:textOutline w14:w="12700" w14:cap="flat" w14:cmpd="sng" w14:algn="ctr">
            <w14:noFill/>
            <w14:prstDash w14:val="solid"/>
            <w14:miter w14:lim="400000"/>
          </w14:textOutline>
        </w:rPr>
        <w:br/>
        <w:t xml:space="preserve">- personas ar aplastisko anēmiju, </w:t>
      </w:r>
      <w:r>
        <w:rPr>
          <w:sz w:val="18"/>
          <w:szCs w:val="18"/>
          <w:u w:color="000000"/>
          <w14:textOutline w14:w="12700" w14:cap="flat" w14:cmpd="sng" w14:algn="ctr">
            <w14:noFill/>
            <w14:prstDash w14:val="solid"/>
            <w14:miter w14:lim="400000"/>
          </w14:textOutline>
        </w:rPr>
        <w:br/>
        <w:t xml:space="preserve">- personas, kurām ir reakcija “transplantāts pret saimnieku”, </w:t>
      </w:r>
      <w:r>
        <w:rPr>
          <w:sz w:val="18"/>
          <w:szCs w:val="18"/>
          <w:u w:color="000000"/>
          <w14:textOutline w14:w="12700" w14:cap="flat" w14:cmpd="sng" w14:algn="ctr">
            <w14:noFill/>
            <w14:prstDash w14:val="solid"/>
            <w14:miter w14:lim="400000"/>
          </w14:textOutline>
        </w:rPr>
        <w:br/>
        <w:t xml:space="preserve">- personas ar iedzimtu smagu kombinētu imūndeficītu, </w:t>
      </w:r>
      <w:r>
        <w:rPr>
          <w:sz w:val="18"/>
          <w:szCs w:val="18"/>
          <w:u w:color="000000"/>
          <w14:textOutline w14:w="12700" w14:cap="flat" w14:cmpd="sng" w14:algn="ctr">
            <w14:noFill/>
            <w14:prstDash w14:val="solid"/>
            <w14:miter w14:lim="400000"/>
          </w14:textOutline>
        </w:rPr>
        <w:br/>
        <w:t xml:space="preserve">- personas, kuras nesen saņēmušas ķīmijterapiju, </w:t>
      </w:r>
      <w:r>
        <w:rPr>
          <w:sz w:val="18"/>
          <w:szCs w:val="18"/>
          <w:u w:color="000000"/>
          <w14:textOutline w14:w="12700" w14:cap="flat" w14:cmpd="sng" w14:algn="ctr">
            <w14:noFill/>
            <w14:prstDash w14:val="solid"/>
            <w14:miter w14:lim="400000"/>
          </w14:textOutline>
        </w:rPr>
        <w:br/>
        <w:t xml:space="preserve">- personas pēc kaulu vai solido orgānu transplantācijas (2 gadus pēc transplantācijas vai arī laikā, kad recipients saņem imūnsupresīvo terapiju), </w:t>
      </w:r>
      <w:r>
        <w:rPr>
          <w:sz w:val="18"/>
          <w:szCs w:val="18"/>
          <w:u w:color="000000"/>
          <w14:textOutline w14:w="12700" w14:cap="flat" w14:cmpd="sng" w14:algn="ctr">
            <w14:noFill/>
            <w14:prstDash w14:val="solid"/>
            <w14:miter w14:lim="400000"/>
          </w14:textOutline>
        </w:rPr>
        <w:br/>
        <w:t xml:space="preserve">- personas, kuras saņem terapiju ar tradicionāliem vai bioloģiskiem slimību modificējošiem antireimatiskiem medikamentiem, vai kortikosteroīdus augstās devās, </w:t>
      </w:r>
      <w:r>
        <w:rPr>
          <w:sz w:val="18"/>
          <w:szCs w:val="18"/>
          <w:u w:color="000000"/>
          <w14:textOutline w14:w="12700" w14:cap="flat" w14:cmpd="sng" w14:algn="ctr">
            <w14:noFill/>
            <w14:prstDash w14:val="solid"/>
            <w14:miter w14:lim="400000"/>
          </w14:textOutline>
        </w:rPr>
        <w:br/>
        <w:t xml:space="preserve">- HIV inficētas personas ar CD4+ šūnu skaitu &lt;15% (absolūtos skaitļus skatīt tabulā Nr.4); HIV inficētas personas, kurām ir HIV </w:t>
      </w:r>
      <w:r>
        <w:rPr>
          <w:sz w:val="18"/>
          <w:szCs w:val="18"/>
          <w:u w:color="000000"/>
          <w14:textOutline w14:w="12700" w14:cap="flat" w14:cmpd="sng" w14:algn="ctr">
            <w14:noFill/>
            <w14:prstDash w14:val="solid"/>
            <w14:miter w14:lim="400000"/>
          </w14:textOutline>
        </w:rPr>
        <w:lastRenderedPageBreak/>
        <w:t xml:space="preserve">infekcijai raksturīgā klīniskā manifestācija, </w:t>
      </w:r>
      <w:r>
        <w:rPr>
          <w:sz w:val="18"/>
          <w:szCs w:val="18"/>
          <w:u w:color="000000"/>
          <w14:textOutline w14:w="12700" w14:cap="flat" w14:cmpd="sng" w14:algn="ctr">
            <w14:noFill/>
            <w14:prstDash w14:val="solid"/>
            <w14:miter w14:lim="400000"/>
          </w14:textOutline>
        </w:rPr>
        <w:br/>
        <w:t>- HIV inficētas personas, kurām ir vai anamnēzē bijušas AIDS definējošās slimības.</w:t>
      </w:r>
    </w:p>
    <w:p w14:paraId="7F7DB91D" w14:textId="77777777" w:rsidR="00C0124E" w:rsidRDefault="00C0124E" w:rsidP="00C0124E">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p>
    <w:p w14:paraId="15339ADA"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Tabula Nr. 4. Imūnsupresijas pakāpe atkarībā no vecuma, CD4+ šūnu skaita un to relatīvā skaita attiecībā pret kopējo limfocītu skaitu</w:t>
      </w:r>
    </w:p>
    <w:tbl>
      <w:tblPr>
        <w:tblW w:w="98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1429"/>
        <w:gridCol w:w="1396"/>
        <w:gridCol w:w="1397"/>
        <w:gridCol w:w="1398"/>
        <w:gridCol w:w="1397"/>
        <w:gridCol w:w="1398"/>
        <w:gridCol w:w="1398"/>
      </w:tblGrid>
      <w:tr w:rsidR="00137DF8" w14:paraId="53694FB5" w14:textId="77777777" w:rsidTr="00C0124E">
        <w:trPr>
          <w:trHeight w:val="169"/>
        </w:trPr>
        <w:tc>
          <w:tcPr>
            <w:tcW w:w="14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866D9" w14:textId="77777777" w:rsidR="00137DF8" w:rsidRDefault="00137DF8"/>
        </w:tc>
        <w:tc>
          <w:tcPr>
            <w:tcW w:w="8384"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E81E0" w14:textId="77777777" w:rsidR="00137DF8" w:rsidRDefault="0024621C">
            <w:pPr>
              <w:pStyle w:val="Default"/>
              <w:spacing w:after="320"/>
              <w:jc w:val="center"/>
              <w:outlineLvl w:val="0"/>
              <w:rPr>
                <w:rFonts w:hint="eastAsia"/>
              </w:rPr>
            </w:pPr>
            <w:r>
              <w:rPr>
                <w:b/>
                <w:bCs/>
                <w:sz w:val="12"/>
                <w:szCs w:val="12"/>
                <w:u w:color="000000"/>
                <w14:textOutline w14:w="12700" w14:cap="flat" w14:cmpd="sng" w14:algn="ctr">
                  <w14:noFill/>
                  <w14:prstDash w14:val="solid"/>
                  <w14:miter w14:lim="400000"/>
                </w14:textOutline>
              </w:rPr>
              <w:t>Vecums</w:t>
            </w:r>
          </w:p>
        </w:tc>
      </w:tr>
      <w:tr w:rsidR="00137DF8" w14:paraId="3B305691" w14:textId="77777777" w:rsidTr="00C0124E">
        <w:trPr>
          <w:trHeight w:val="336"/>
        </w:trPr>
        <w:tc>
          <w:tcPr>
            <w:tcW w:w="1429" w:type="dxa"/>
            <w:vMerge/>
            <w:tcBorders>
              <w:top w:val="single" w:sz="4" w:space="0" w:color="000000"/>
              <w:left w:val="single" w:sz="4" w:space="0" w:color="000000"/>
              <w:bottom w:val="single" w:sz="4" w:space="0" w:color="000000"/>
              <w:right w:val="single" w:sz="4" w:space="0" w:color="000000"/>
            </w:tcBorders>
            <w:shd w:val="clear" w:color="auto" w:fill="auto"/>
          </w:tcPr>
          <w:p w14:paraId="0A23AAB9" w14:textId="77777777" w:rsidR="00137DF8" w:rsidRDefault="00137DF8"/>
        </w:tc>
        <w:tc>
          <w:tcPr>
            <w:tcW w:w="2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93820" w14:textId="77777777" w:rsidR="00137DF8" w:rsidRDefault="0024621C">
            <w:pPr>
              <w:pStyle w:val="Default"/>
              <w:spacing w:after="320"/>
              <w:jc w:val="center"/>
              <w:outlineLvl w:val="0"/>
              <w:rPr>
                <w:rFonts w:hint="eastAsia"/>
              </w:rPr>
            </w:pPr>
            <w:r>
              <w:rPr>
                <w:b/>
                <w:bCs/>
                <w:sz w:val="12"/>
                <w:szCs w:val="12"/>
                <w:u w:color="000000"/>
                <w14:textOutline w14:w="12700" w14:cap="flat" w14:cmpd="sng" w14:algn="ctr">
                  <w14:noFill/>
                  <w14:prstDash w14:val="solid"/>
                  <w14:miter w14:lim="400000"/>
                </w14:textOutline>
              </w:rPr>
              <w:t>&lt;12 mēnešiem</w:t>
            </w:r>
          </w:p>
        </w:tc>
        <w:tc>
          <w:tcPr>
            <w:tcW w:w="27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AF0F4" w14:textId="77777777" w:rsidR="00137DF8" w:rsidRDefault="0024621C">
            <w:pPr>
              <w:pStyle w:val="Default"/>
              <w:spacing w:after="320"/>
              <w:jc w:val="center"/>
              <w:outlineLvl w:val="0"/>
              <w:rPr>
                <w:rFonts w:hint="eastAsia"/>
              </w:rPr>
            </w:pPr>
            <w:r>
              <w:rPr>
                <w:b/>
                <w:bCs/>
                <w:sz w:val="12"/>
                <w:szCs w:val="12"/>
                <w:u w:color="000000"/>
                <w14:textOutline w14:w="12700" w14:cap="flat" w14:cmpd="sng" w14:algn="ctr">
                  <w14:noFill/>
                  <w14:prstDash w14:val="solid"/>
                  <w14:miter w14:lim="400000"/>
                </w14:textOutline>
              </w:rPr>
              <w:t>1 – 5 gadi</w:t>
            </w:r>
          </w:p>
        </w:tc>
        <w:tc>
          <w:tcPr>
            <w:tcW w:w="279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A857F" w14:textId="77777777" w:rsidR="00137DF8" w:rsidRDefault="0024621C">
            <w:pPr>
              <w:pStyle w:val="Default"/>
              <w:spacing w:after="320"/>
              <w:jc w:val="center"/>
              <w:outlineLvl w:val="0"/>
              <w:rPr>
                <w:rFonts w:hint="eastAsia"/>
              </w:rPr>
            </w:pPr>
            <w:r>
              <w:rPr>
                <w:b/>
                <w:bCs/>
                <w:sz w:val="12"/>
                <w:szCs w:val="12"/>
                <w:u w:color="000000"/>
                <w14:textOutline w14:w="12700" w14:cap="flat" w14:cmpd="sng" w14:algn="ctr">
                  <w14:noFill/>
                  <w14:prstDash w14:val="solid"/>
                  <w14:miter w14:lim="400000"/>
                </w14:textOutline>
              </w:rPr>
              <w:t>≥ 6 gadi</w:t>
            </w:r>
          </w:p>
        </w:tc>
      </w:tr>
      <w:tr w:rsidR="00137DF8" w14:paraId="226656D6" w14:textId="77777777" w:rsidTr="00C0124E">
        <w:trPr>
          <w:trHeight w:val="415"/>
        </w:trPr>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5D536"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Imūnsupresijas pakāpe/kategorija</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15EF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CD4+ / µL</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252E9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78BF8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CD4+ / µL</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9719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689BB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CD4+ / µL</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B2CE6"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w:t>
            </w:r>
          </w:p>
        </w:tc>
      </w:tr>
      <w:tr w:rsidR="00137DF8" w14:paraId="0284C3A0" w14:textId="77777777" w:rsidTr="00C0124E">
        <w:trPr>
          <w:trHeight w:val="355"/>
        </w:trPr>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E1D1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Nav imūnsupresijas</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E0066"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1500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72202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25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4721A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1000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E2B5B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25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23A9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500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DCE0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 25</w:t>
            </w:r>
          </w:p>
        </w:tc>
      </w:tr>
      <w:tr w:rsidR="00137DF8" w14:paraId="09E803D8" w14:textId="77777777" w:rsidTr="00C0124E">
        <w:trPr>
          <w:trHeight w:val="169"/>
        </w:trPr>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517AA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Mērena imūnsupresija</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A8AD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750 - 1499</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C6F5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15 - 24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7EFE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500 - 999</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C9EE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15 - 24</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9FB1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200 - 499</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240A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15 - 24</w:t>
            </w:r>
          </w:p>
        </w:tc>
      </w:tr>
      <w:tr w:rsidR="00137DF8" w14:paraId="01430B89" w14:textId="77777777" w:rsidTr="00C0124E">
        <w:trPr>
          <w:trHeight w:val="169"/>
        </w:trPr>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82487"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Smaga imūnsupresija</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CE0537"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750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AF556"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15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29C83"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500</w:t>
            </w:r>
          </w:p>
        </w:tc>
        <w:tc>
          <w:tcPr>
            <w:tcW w:w="1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B373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15</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2FD5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200</w:t>
            </w:r>
          </w:p>
        </w:tc>
        <w:tc>
          <w:tcPr>
            <w:tcW w:w="1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4DFF2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&lt; 15</w:t>
            </w:r>
          </w:p>
        </w:tc>
      </w:tr>
    </w:tbl>
    <w:p w14:paraId="041E445D"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1831631A"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10. Pirmsekspozīcijas profilakse</w:t>
      </w:r>
    </w:p>
    <w:p w14:paraId="39B3AE13"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PrEP tiek rekomendēta tiem indivīdiem, kuriem ir augsts trakumsērgas vai sikspārņu lisavīrusu ekspozīcijas risks sakarā ar ilglaicīgu vai īslaicīgu uzturēšanos vai ceļošanu uz endēmisku rajonu, kur ir ierobežotas iespējas saņemt savlaicīgu un adekvātu PEP.</w:t>
      </w:r>
    </w:p>
    <w:p w14:paraId="3D29F05E"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Efektīva antivielu veidošanās nav sagaidāma 7 dienu laikā pēc vakcīnas 1.devas saņemšanas, līdz ar to personām, kuras šajā laikā eksponētas trakumsērgas vīrusam, PEP jāsaņem pilnā apjomā. Nav datu, ka viena vakcīnas deva inducē adekvātu ilgtermiņa (ilgāk par 1 gadu) imunitāti.</w:t>
      </w:r>
      <w:r>
        <w:rPr>
          <w:sz w:val="18"/>
          <w:szCs w:val="18"/>
          <w:u w:color="000000"/>
          <w14:textOutline w14:w="12700" w14:cap="flat" w14:cmpd="sng" w14:algn="ctr">
            <w14:noFill/>
            <w14:prstDash w14:val="solid"/>
            <w14:miter w14:lim="400000"/>
          </w14:textOutline>
        </w:rPr>
        <w:br/>
      </w:r>
    </w:p>
    <w:p w14:paraId="0CF70D8F" w14:textId="77777777" w:rsidR="00137DF8" w:rsidRDefault="0024621C">
      <w:pPr>
        <w:pStyle w:val="Default"/>
        <w:spacing w:after="160" w:line="288" w:lineRule="auto"/>
        <w:jc w:val="center"/>
        <w:outlineLvl w:val="0"/>
        <w:rPr>
          <w:rFonts w:hint="eastAsia"/>
          <w:b/>
          <w:bCs/>
          <w:color w:val="1C3780"/>
          <w:sz w:val="22"/>
          <w:szCs w:val="22"/>
          <w:u w:color="008CB4"/>
          <w14:textOutline w14:w="12700" w14:cap="flat" w14:cmpd="sng" w14:algn="ctr">
            <w14:noFill/>
            <w14:prstDash w14:val="solid"/>
            <w14:miter w14:lim="400000"/>
          </w14:textOutline>
        </w:rPr>
      </w:pPr>
      <w:r>
        <w:rPr>
          <w:b/>
          <w:bCs/>
          <w:color w:val="1C3780"/>
          <w:sz w:val="22"/>
          <w:szCs w:val="22"/>
          <w:u w:color="008CB4"/>
          <w14:textOutline w14:w="12700" w14:cap="flat" w14:cmpd="sng" w14:algn="ctr">
            <w14:noFill/>
            <w14:prstDash w14:val="solid"/>
            <w14:miter w14:lim="400000"/>
          </w14:textOutline>
        </w:rPr>
        <w:t>Standarta PrEP shēmas:</w:t>
      </w:r>
      <w:r>
        <w:rPr>
          <w:b/>
          <w:bCs/>
          <w:color w:val="1C3780"/>
          <w:sz w:val="22"/>
          <w:szCs w:val="22"/>
          <w:u w:color="008CB4"/>
          <w14:textOutline w14:w="12700" w14:cap="flat" w14:cmpd="sng" w14:algn="ctr">
            <w14:noFill/>
            <w14:prstDash w14:val="solid"/>
            <w14:miter w14:lim="400000"/>
          </w14:textOutline>
        </w:rPr>
        <w:br/>
        <w:t>- 2 devas 0., 7. diena IM (tikai imūnkompetentām personām)</w:t>
      </w:r>
      <w:r>
        <w:rPr>
          <w:b/>
          <w:bCs/>
          <w:color w:val="1C3780"/>
          <w:sz w:val="22"/>
          <w:szCs w:val="22"/>
          <w:u w:color="008CB4"/>
          <w14:textOutline w14:w="12700" w14:cap="flat" w14:cmpd="sng" w14:algn="ctr">
            <w14:noFill/>
            <w14:prstDash w14:val="solid"/>
            <w14:miter w14:lim="400000"/>
          </w14:textOutline>
        </w:rPr>
        <w:br/>
        <w:t>- 3 devas 0., 7., 21. vai 28. diena IM (gan imūnkompetentām, gan imūnkompromitētām personām*).</w:t>
      </w:r>
      <w:r>
        <w:rPr>
          <w:b/>
          <w:bCs/>
          <w:color w:val="1C3780"/>
          <w:sz w:val="22"/>
          <w:szCs w:val="22"/>
          <w:u w:color="008CB4"/>
          <w14:textOutline w14:w="12700" w14:cap="flat" w14:cmpd="sng" w14:algn="ctr">
            <w14:noFill/>
            <w14:prstDash w14:val="solid"/>
            <w14:miter w14:lim="400000"/>
          </w14:textOutline>
        </w:rPr>
        <w:br/>
      </w:r>
    </w:p>
    <w:p w14:paraId="7CCFDE65" w14:textId="77777777" w:rsidR="00137DF8" w:rsidRDefault="0024621C">
      <w:pPr>
        <w:pStyle w:val="Default"/>
        <w:spacing w:after="160" w:line="288" w:lineRule="auto"/>
        <w:jc w:val="both"/>
        <w:outlineLvl w:val="0"/>
        <w:rPr>
          <w:rFonts w:hint="eastAsia"/>
          <w:sz w:val="18"/>
          <w:szCs w:val="18"/>
          <w:u w:color="008CB4"/>
          <w14:textOutline w14:w="12700" w14:cap="flat" w14:cmpd="sng" w14:algn="ctr">
            <w14:noFill/>
            <w14:prstDash w14:val="solid"/>
            <w14:miter w14:lim="400000"/>
          </w14:textOutline>
        </w:rPr>
      </w:pPr>
      <w:r>
        <w:rPr>
          <w:sz w:val="18"/>
          <w:szCs w:val="18"/>
          <w:u w:color="008CB4"/>
          <w14:textOutline w14:w="12700" w14:cap="flat" w14:cmpd="sng" w14:algn="ctr">
            <w14:noFill/>
            <w14:prstDash w14:val="solid"/>
            <w14:miter w14:lim="400000"/>
          </w14:textOutline>
        </w:rPr>
        <w:t xml:space="preserve">* </w:t>
      </w:r>
      <w:r>
        <w:rPr>
          <w:sz w:val="18"/>
          <w:szCs w:val="18"/>
          <w:u w:color="000000"/>
          <w14:textOutline w14:w="12700" w14:cap="flat" w14:cmpd="sng" w14:algn="ctr">
            <w14:noFill/>
            <w14:prstDash w14:val="solid"/>
            <w14:miter w14:lim="400000"/>
          </w14:textOutline>
        </w:rPr>
        <w:t>Imūnkompromitētām personām 2 – 4 nedēļas pēc pēdējās vakcīnas devas saņemšanas jānosaka VNAb: ja antivielu titrs ir &lt;0,5 IU/mL, jāordinē vēl viena vakcīnas deva; pēc tam jāatkārto seroloģiskie izmeklējumi. Ja pēc atkārtotas izmeklēšanas VNAb saglabājas &lt;0,5 IU/mL, nepieciešama vakcinācijas speciālista konsultācija.</w:t>
      </w:r>
    </w:p>
    <w:p w14:paraId="4D93B26A" w14:textId="77777777" w:rsidR="00137DF8"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PVO ir akceptējusi vairākas PrEP shēmas (tabula Nr. 5). 1 dienas PrEP shēma apsverama gadījumos, ja nav iespējamas divas vizītes un pirms došanās uz endēmisko rajonu, kur ekspozīcijas gadījumā būs pieejama vakcīna; ja ekspozīcija ar dzīvnieku ceļojuma laikā nav notikusi, 2. deva jāsaņem tūlīt pēc atgriešanās. Gadījumā, ja pirms 2. devas notikusi ekspozīcija ar trakumsērgas vīrusu, uzsākama pilna PEP atkarībā no ekspozīcijas kategorijas. </w:t>
      </w:r>
    </w:p>
    <w:p w14:paraId="26CDFB10" w14:textId="77777777" w:rsidR="00600FAC" w:rsidRDefault="00600FA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p>
    <w:p w14:paraId="00DE843C" w14:textId="77777777" w:rsidR="00600FAC" w:rsidRDefault="00600FA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p>
    <w:p w14:paraId="19D8DD97" w14:textId="77777777" w:rsidR="00600FAC" w:rsidRPr="0021328C" w:rsidRDefault="00600FAC">
      <w:pPr>
        <w:pStyle w:val="Default"/>
        <w:spacing w:after="160" w:line="288" w:lineRule="auto"/>
        <w:jc w:val="both"/>
        <w:outlineLvl w:val="0"/>
        <w:rPr>
          <w:rFonts w:hint="eastAsia"/>
          <w:color w:val="4D4D4D"/>
          <w:sz w:val="18"/>
          <w:szCs w:val="18"/>
          <w:u w:color="008CB4"/>
          <w:lang w:val="es-ES"/>
          <w14:textOutline w14:w="12700" w14:cap="flat" w14:cmpd="sng" w14:algn="ctr">
            <w14:noFill/>
            <w14:prstDash w14:val="solid"/>
            <w14:miter w14:lim="400000"/>
          </w14:textOutline>
        </w:rPr>
      </w:pPr>
    </w:p>
    <w:p w14:paraId="363071BD" w14:textId="77777777" w:rsidR="00137DF8" w:rsidRPr="0021328C" w:rsidRDefault="0024621C">
      <w:pPr>
        <w:pStyle w:val="Default"/>
        <w:spacing w:after="160" w:line="288" w:lineRule="auto"/>
        <w:jc w:val="both"/>
        <w:outlineLvl w:val="0"/>
        <w:rPr>
          <w:rFonts w:hint="eastAsia"/>
          <w:b/>
          <w:bCs/>
          <w:sz w:val="18"/>
          <w:szCs w:val="18"/>
          <w:u w:color="000000"/>
          <w:lang w:val="es-ES"/>
          <w14:textOutline w14:w="12700" w14:cap="flat" w14:cmpd="sng" w14:algn="ctr">
            <w14:noFill/>
            <w14:prstDash w14:val="solid"/>
            <w14:miter w14:lim="400000"/>
          </w14:textOutline>
        </w:rPr>
      </w:pPr>
      <w:r w:rsidRPr="0021328C">
        <w:rPr>
          <w:b/>
          <w:bCs/>
          <w:sz w:val="18"/>
          <w:szCs w:val="18"/>
          <w:u w:color="008CB4"/>
          <w:lang w:val="es-ES"/>
          <w14:textOutline w14:w="12700" w14:cap="flat" w14:cmpd="sng" w14:algn="ctr">
            <w14:noFill/>
            <w14:prstDash w14:val="solid"/>
            <w14:miter w14:lim="400000"/>
          </w14:textOutline>
        </w:rPr>
        <w:lastRenderedPageBreak/>
        <w:t xml:space="preserve">Tabula Nr. 5. </w:t>
      </w:r>
      <w:r w:rsidRPr="0021328C">
        <w:rPr>
          <w:b/>
          <w:bCs/>
          <w:sz w:val="18"/>
          <w:szCs w:val="18"/>
          <w:u w:color="000000"/>
          <w:lang w:val="es-ES"/>
          <w14:textOutline w14:w="12700" w14:cap="flat" w14:cmpd="sng" w14:algn="ctr">
            <w14:noFill/>
            <w14:prstDash w14:val="solid"/>
            <w14:miter w14:lim="400000"/>
          </w14:textOutline>
        </w:rPr>
        <w:t>PVO rekomendētās un alternatīvās PrEP shēmas</w:t>
      </w:r>
    </w:p>
    <w:tbl>
      <w:tblPr>
        <w:tblW w:w="973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3243"/>
        <w:gridCol w:w="3243"/>
        <w:gridCol w:w="3244"/>
      </w:tblGrid>
      <w:tr w:rsidR="00137DF8" w14:paraId="16286C52" w14:textId="77777777">
        <w:trPr>
          <w:trHeight w:val="32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82258" w14:textId="77777777" w:rsidR="00137DF8" w:rsidRDefault="0024621C">
            <w:pPr>
              <w:pStyle w:val="Default"/>
              <w:rPr>
                <w:rFonts w:hint="eastAsia"/>
              </w:rPr>
            </w:pPr>
            <w:r>
              <w:rPr>
                <w:b/>
                <w:bCs/>
                <w:sz w:val="12"/>
                <w:szCs w:val="12"/>
                <w:u w:color="000000"/>
              </w:rPr>
              <w:t>PrEP shēma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A7D23" w14:textId="77777777" w:rsidR="00137DF8" w:rsidRDefault="0024621C">
            <w:pPr>
              <w:pStyle w:val="Default"/>
              <w:rPr>
                <w:rFonts w:hint="eastAsia"/>
              </w:rPr>
            </w:pPr>
            <w:r>
              <w:rPr>
                <w:b/>
                <w:bCs/>
                <w:sz w:val="12"/>
                <w:szCs w:val="12"/>
                <w:u w:color="000000"/>
              </w:rPr>
              <w:t>Intervāls/laika periods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F623C" w14:textId="77777777" w:rsidR="00137DF8" w:rsidRDefault="0024621C">
            <w:pPr>
              <w:pStyle w:val="Default"/>
              <w:rPr>
                <w:rFonts w:hint="eastAsia"/>
              </w:rPr>
            </w:pPr>
            <w:r>
              <w:rPr>
                <w:b/>
                <w:bCs/>
                <w:sz w:val="12"/>
                <w:szCs w:val="12"/>
                <w:u w:color="000000"/>
              </w:rPr>
              <w:t>Injekciju skaits vienas vizītes laikā (0., 3., 7., 14., 21. - 28. diena)</w:t>
            </w:r>
          </w:p>
        </w:tc>
      </w:tr>
      <w:tr w:rsidR="00137DF8" w14:paraId="7990BE9D"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03512" w14:textId="77777777" w:rsidR="00137DF8" w:rsidRDefault="0024621C">
            <w:pPr>
              <w:pStyle w:val="Default"/>
              <w:rPr>
                <w:rFonts w:hint="eastAsia"/>
              </w:rPr>
            </w:pPr>
            <w:r>
              <w:rPr>
                <w:b/>
                <w:bCs/>
                <w:sz w:val="12"/>
                <w:szCs w:val="12"/>
                <w:u w:color="000000"/>
              </w:rPr>
              <w:t>PVO rekomendētā IM shēma</w:t>
            </w:r>
          </w:p>
        </w:tc>
      </w:tr>
      <w:tr w:rsidR="00137DF8" w14:paraId="6B4EB016"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D8D63" w14:textId="77777777" w:rsidR="00137DF8" w:rsidRDefault="0024621C">
            <w:pPr>
              <w:pStyle w:val="Default"/>
              <w:rPr>
                <w:rFonts w:hint="eastAsia"/>
              </w:rPr>
            </w:pPr>
            <w:r>
              <w:rPr>
                <w:b/>
                <w:bCs/>
                <w:sz w:val="12"/>
                <w:szCs w:val="12"/>
                <w:u w:color="000000"/>
              </w:rPr>
              <w:t>Divas vizītes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5EEA5" w14:textId="77777777" w:rsidR="00137DF8" w:rsidRDefault="0024621C">
            <w:pPr>
              <w:pStyle w:val="Default"/>
              <w:rPr>
                <w:rFonts w:hint="eastAsia"/>
              </w:rPr>
            </w:pPr>
            <w:r>
              <w:rPr>
                <w:b/>
                <w:bCs/>
                <w:sz w:val="12"/>
                <w:szCs w:val="12"/>
                <w:u w:color="000000"/>
              </w:rPr>
              <w:t>7 dienas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12E6C" w14:textId="77777777" w:rsidR="00137DF8" w:rsidRDefault="0024621C">
            <w:pPr>
              <w:pStyle w:val="Default"/>
              <w:rPr>
                <w:rFonts w:hint="eastAsia"/>
              </w:rPr>
            </w:pPr>
            <w:r>
              <w:rPr>
                <w:b/>
                <w:bCs/>
                <w:sz w:val="12"/>
                <w:szCs w:val="12"/>
                <w:u w:color="000000"/>
              </w:rPr>
              <w:t>1 - 0 - 1 - 0 - 0</w:t>
            </w:r>
          </w:p>
        </w:tc>
      </w:tr>
      <w:tr w:rsidR="00137DF8" w14:paraId="00E3DFD0"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C62770" w14:textId="77777777" w:rsidR="00137DF8" w:rsidRDefault="0024621C">
            <w:pPr>
              <w:pStyle w:val="Default"/>
              <w:rPr>
                <w:rFonts w:hint="eastAsia"/>
              </w:rPr>
            </w:pPr>
            <w:r>
              <w:rPr>
                <w:sz w:val="12"/>
                <w:szCs w:val="12"/>
                <w:u w:color="000000"/>
              </w:rPr>
              <w:t>PVO rekomendētā ID shēma</w:t>
            </w:r>
          </w:p>
        </w:tc>
      </w:tr>
      <w:tr w:rsidR="00137DF8" w14:paraId="71657D28"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0DE629" w14:textId="77777777" w:rsidR="00137DF8" w:rsidRDefault="0024621C">
            <w:pPr>
              <w:pStyle w:val="Default"/>
              <w:rPr>
                <w:rFonts w:hint="eastAsia"/>
              </w:rPr>
            </w:pPr>
            <w:r>
              <w:rPr>
                <w:sz w:val="12"/>
                <w:szCs w:val="12"/>
                <w:u w:color="000000"/>
              </w:rPr>
              <w:t>Divas vizītes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38431" w14:textId="77777777" w:rsidR="00137DF8" w:rsidRDefault="0024621C">
            <w:pPr>
              <w:pStyle w:val="Default"/>
              <w:rPr>
                <w:rFonts w:hint="eastAsia"/>
              </w:rPr>
            </w:pPr>
            <w:r>
              <w:rPr>
                <w:sz w:val="12"/>
                <w:szCs w:val="12"/>
                <w:u w:color="000000"/>
              </w:rPr>
              <w:t>7 dienas</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3342D" w14:textId="77777777" w:rsidR="00137DF8" w:rsidRDefault="0024621C">
            <w:pPr>
              <w:pStyle w:val="Default"/>
              <w:rPr>
                <w:rFonts w:hint="eastAsia"/>
              </w:rPr>
            </w:pPr>
            <w:r>
              <w:rPr>
                <w:sz w:val="12"/>
                <w:szCs w:val="12"/>
                <w:u w:color="000000"/>
              </w:rPr>
              <w:t>2 - 0 - 2 - 0 - 0</w:t>
            </w:r>
          </w:p>
        </w:tc>
      </w:tr>
      <w:tr w:rsidR="00137DF8" w14:paraId="7C95DF36" w14:textId="77777777">
        <w:trPr>
          <w:trHeight w:val="169"/>
        </w:trPr>
        <w:tc>
          <w:tcPr>
            <w:tcW w:w="973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F6D6D" w14:textId="77777777" w:rsidR="00137DF8" w:rsidRDefault="0024621C">
            <w:pPr>
              <w:pStyle w:val="Default"/>
              <w:rPr>
                <w:rFonts w:hint="eastAsia"/>
              </w:rPr>
            </w:pPr>
            <w:r>
              <w:rPr>
                <w:sz w:val="12"/>
                <w:szCs w:val="12"/>
                <w:u w:color="000000"/>
              </w:rPr>
              <w:t>Īpaši apstākļi/situācijas</w:t>
            </w:r>
          </w:p>
        </w:tc>
      </w:tr>
      <w:tr w:rsidR="00137DF8" w14:paraId="1BCE963E"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11B0C" w14:textId="77777777" w:rsidR="00137DF8" w:rsidRDefault="0024621C">
            <w:pPr>
              <w:pStyle w:val="Default"/>
              <w:rPr>
                <w:rFonts w:hint="eastAsia"/>
              </w:rPr>
            </w:pPr>
            <w:r>
              <w:rPr>
                <w:sz w:val="12"/>
                <w:szCs w:val="12"/>
                <w:u w:color="000000"/>
              </w:rPr>
              <w:t>Viena vizīte, IM</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75BB8" w14:textId="77777777" w:rsidR="00137DF8" w:rsidRDefault="0024621C">
            <w:pPr>
              <w:pStyle w:val="Default"/>
              <w:rPr>
                <w:rFonts w:hint="eastAsia"/>
              </w:rPr>
            </w:pPr>
            <w:r>
              <w:rPr>
                <w:sz w:val="12"/>
                <w:szCs w:val="12"/>
                <w:u w:color="000000"/>
              </w:rPr>
              <w:t>1 diena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A6A32C" w14:textId="77777777" w:rsidR="00137DF8" w:rsidRDefault="0024621C">
            <w:pPr>
              <w:pStyle w:val="Default"/>
              <w:rPr>
                <w:rFonts w:hint="eastAsia"/>
              </w:rPr>
            </w:pPr>
            <w:r>
              <w:rPr>
                <w:sz w:val="12"/>
                <w:szCs w:val="12"/>
                <w:u w:color="000000"/>
              </w:rPr>
              <w:t>1 - 0 - 0 - 0 - 0</w:t>
            </w:r>
          </w:p>
        </w:tc>
      </w:tr>
      <w:tr w:rsidR="00137DF8" w14:paraId="5A086473" w14:textId="77777777">
        <w:trPr>
          <w:trHeight w:val="169"/>
        </w:trPr>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69865" w14:textId="77777777" w:rsidR="00137DF8" w:rsidRDefault="0024621C">
            <w:pPr>
              <w:pStyle w:val="Default"/>
              <w:rPr>
                <w:rFonts w:hint="eastAsia"/>
              </w:rPr>
            </w:pPr>
            <w:r>
              <w:rPr>
                <w:sz w:val="12"/>
                <w:szCs w:val="12"/>
                <w:u w:color="000000"/>
              </w:rPr>
              <w:t>Viena vizīte, ID</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14CA7" w14:textId="77777777" w:rsidR="00137DF8" w:rsidRDefault="0024621C">
            <w:pPr>
              <w:pStyle w:val="Default"/>
              <w:rPr>
                <w:rFonts w:hint="eastAsia"/>
              </w:rPr>
            </w:pPr>
            <w:r>
              <w:rPr>
                <w:sz w:val="12"/>
                <w:szCs w:val="12"/>
                <w:u w:color="000000"/>
              </w:rPr>
              <w:t>1 diena</w:t>
            </w:r>
          </w:p>
        </w:tc>
        <w:tc>
          <w:tcPr>
            <w:tcW w:w="3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16AD70" w14:textId="77777777" w:rsidR="00137DF8" w:rsidRDefault="0024621C">
            <w:pPr>
              <w:pStyle w:val="Default"/>
              <w:rPr>
                <w:rFonts w:hint="eastAsia"/>
              </w:rPr>
            </w:pPr>
            <w:r>
              <w:rPr>
                <w:sz w:val="12"/>
                <w:szCs w:val="12"/>
                <w:u w:color="000000"/>
              </w:rPr>
              <w:t>2 - 0 - 0 - 0 - 0</w:t>
            </w:r>
          </w:p>
        </w:tc>
      </w:tr>
    </w:tbl>
    <w:p w14:paraId="0F02638D" w14:textId="77777777" w:rsidR="00137DF8" w:rsidRDefault="00137DF8">
      <w:pPr>
        <w:pStyle w:val="Default"/>
        <w:spacing w:after="160" w:line="288" w:lineRule="auto"/>
        <w:jc w:val="both"/>
        <w:outlineLvl w:val="0"/>
        <w:rPr>
          <w:rFonts w:hint="eastAsia"/>
          <w:sz w:val="18"/>
          <w:szCs w:val="18"/>
          <w:u w:color="4D4D4D"/>
          <w14:textOutline w14:w="12700" w14:cap="flat" w14:cmpd="sng" w14:algn="ctr">
            <w14:noFill/>
            <w14:prstDash w14:val="solid"/>
            <w14:miter w14:lim="400000"/>
          </w14:textOutline>
        </w:rPr>
      </w:pPr>
    </w:p>
    <w:p w14:paraId="69B1CE8B" w14:textId="77777777" w:rsidR="00137DF8" w:rsidRDefault="0024621C">
      <w:pPr>
        <w:spacing w:after="160" w:line="288" w:lineRule="auto"/>
        <w:jc w:val="center"/>
        <w:rPr>
          <w:rFonts w:ascii="Graphik" w:eastAsia="Graphik" w:hAnsi="Graphik" w:cs="Graphik"/>
          <w:b/>
          <w:bCs/>
          <w:color w:val="1C3780"/>
          <w:sz w:val="18"/>
          <w:szCs w:val="18"/>
          <w:u w:color="008CB4"/>
          <w14:textOutline w14:w="12700" w14:cap="flat" w14:cmpd="sng" w14:algn="ctr">
            <w14:noFill/>
            <w14:prstDash w14:val="solid"/>
            <w14:miter w14:lim="400000"/>
          </w14:textOutline>
        </w:rPr>
      </w:pPr>
      <w:r>
        <w:rPr>
          <w:rFonts w:ascii="Graphik" w:hAnsi="Graphik" w:cs="Arial Unicode MS"/>
          <w:b/>
          <w:bCs/>
          <w:color w:val="1C3780"/>
          <w:sz w:val="18"/>
          <w:szCs w:val="18"/>
          <w:u w:color="008CB4"/>
          <w14:textOutline w14:w="12700" w14:cap="flat" w14:cmpd="sng" w14:algn="ctr">
            <w14:noFill/>
            <w14:prstDash w14:val="solid"/>
            <w14:miter w14:lim="400000"/>
          </w14:textOutline>
        </w:rPr>
        <w:t xml:space="preserve">Lai gan vairāku apstākļu dēļ </w:t>
      </w:r>
      <w:r>
        <w:rPr>
          <w:rFonts w:ascii="Graphik" w:hAnsi="Graphik" w:cs="Arial Unicode MS"/>
          <w:b/>
          <w:bCs/>
          <w:color w:val="1C3780"/>
          <w:sz w:val="18"/>
          <w:szCs w:val="18"/>
          <w:u w:val="single" w:color="008CB4"/>
          <w14:textOutline w14:w="12700" w14:cap="flat" w14:cmpd="sng" w14:algn="ctr">
            <w14:noFill/>
            <w14:prstDash w14:val="solid"/>
            <w14:miter w14:lim="400000"/>
          </w14:textOutline>
        </w:rPr>
        <w:t>Latvijā ID antirābiskās vakcīnas ievadīšana netiek praktizēta</w:t>
      </w:r>
      <w:r>
        <w:rPr>
          <w:rFonts w:ascii="Graphik" w:hAnsi="Graphik" w:cs="Arial Unicode MS"/>
          <w:b/>
          <w:bCs/>
          <w:color w:val="1C3780"/>
          <w:sz w:val="18"/>
          <w:szCs w:val="18"/>
          <w:u w:color="008CB4"/>
          <w14:textOutline w14:w="12700" w14:cap="flat" w14:cmpd="sng" w14:algn="ctr">
            <w14:noFill/>
            <w14:prstDash w14:val="solid"/>
            <w14:miter w14:lim="400000"/>
          </w14:textOutline>
        </w:rPr>
        <w:t>, tomēr Latvijas speciālistiem jābūt informētiem par šādu ievades veidu!</w:t>
      </w:r>
    </w:p>
    <w:p w14:paraId="654D9EC8"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Lai gan sākotnējie antivielu titri var būt augstāki pie ID ievades, 14 dienas pēc vakcinācijas antivielu titrs samazinās ievērojami ātrāk nekā pēc IM ievades, kā arī sākotnējā imūnsistēmas atbilde pēc ekspozīcijas ar trakumsērgas vīrusu var būt lēnāka, tādēļ pirmsekspozīcijas profilaksei rekomendē IM vakcīnas ievadi. </w:t>
      </w:r>
    </w:p>
    <w:p w14:paraId="6DD15B42"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ID vakcīnu neievada imūnsupresētām personām, personām, kuras lieto hlorohīnu vai citus tam līdzīgus pretmalārijas līdzekļus vakcinācijas laikā vai 1 mēnesi pēc vakcinācijas. 14 - 21 dienas pēc vakcinācijas nepieciešams noteikt vīrusa neitralizējošo antivielu līmeni asins serumā.</w:t>
      </w:r>
    </w:p>
    <w:p w14:paraId="13A6F5CE" w14:textId="77777777" w:rsidR="00137DF8" w:rsidRDefault="0024621C">
      <w:pPr>
        <w:pStyle w:val="Default"/>
        <w:spacing w:after="16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t>Rekomendācijas PrEP rutīnā profesionālu vai citu riska iemeslu dēļ</w:t>
      </w:r>
    </w:p>
    <w:p w14:paraId="07309903"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PrEP ir indicēta indivīdiem, kuriem ir augsts ekspozīcijas risks profesionālu iemeslu dēļ, piemēram, veterinārārstiem, veselības aprūpes personālam, kas regulāri aprūpē ar trakumsērgu inficētos pacientus, personām, kuras strādā laboratorijās ar augstu trakumsērgas vīrusa vai lisavīrusu koncentrāciju (shēma Nr.5). </w:t>
      </w:r>
    </w:p>
    <w:p w14:paraId="6E6AABE7"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Laboratorijas vadītājam vai uzraugam regulāri jāveic relatīvā ekspozīcijas un inficēšanās riska varbūtības izvērtēšana un nepieciešamības gadījumā jāveic laboratorijas darbinieku ārpuskārtas imunitātes pārbaude.</w:t>
      </w:r>
    </w:p>
    <w:p w14:paraId="0D51B661" w14:textId="48B696D6"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Shēma Nr. 5. Balstvakcinācijas shēma personām ar paaugstinātu trakumsērgas vai citu lissavīrusu ekspozīcijas risku</w:t>
      </w:r>
    </w:p>
    <w:p w14:paraId="12CE6BA7" w14:textId="1FC56ED4" w:rsidR="00137DF8" w:rsidRDefault="00600FA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3360" behindDoc="0" locked="0" layoutInCell="1" allowOverlap="1" wp14:anchorId="2A9DB5CD" wp14:editId="783DBFF5">
            <wp:simplePos x="0" y="0"/>
            <wp:positionH relativeFrom="margin">
              <wp:posOffset>351790</wp:posOffset>
            </wp:positionH>
            <wp:positionV relativeFrom="line">
              <wp:posOffset>71120</wp:posOffset>
            </wp:positionV>
            <wp:extent cx="4701534" cy="1692204"/>
            <wp:effectExtent l="0" t="0" r="0" b="0"/>
            <wp:wrapThrough wrapText="bothSides" distL="152400" distR="152400">
              <wp:wrapPolygon edited="1">
                <wp:start x="0" y="0"/>
                <wp:lineTo x="21621" y="0"/>
                <wp:lineTo x="21621" y="21626"/>
                <wp:lineTo x="0" y="21626"/>
                <wp:lineTo x="0" y="0"/>
              </wp:wrapPolygon>
            </wp:wrapThrough>
            <wp:docPr id="1073741835" name="officeArt object" descr="Image"/>
            <wp:cNvGraphicFramePr/>
            <a:graphic xmlns:a="http://schemas.openxmlformats.org/drawingml/2006/main">
              <a:graphicData uri="http://schemas.openxmlformats.org/drawingml/2006/picture">
                <pic:pic xmlns:pic="http://schemas.openxmlformats.org/drawingml/2006/picture">
                  <pic:nvPicPr>
                    <pic:cNvPr id="1073741835" name="Image" descr="Image"/>
                    <pic:cNvPicPr>
                      <a:picLocks noChangeAspect="1"/>
                    </pic:cNvPicPr>
                  </pic:nvPicPr>
                  <pic:blipFill>
                    <a:blip r:embed="rId23"/>
                    <a:stretch>
                      <a:fillRect/>
                    </a:stretch>
                  </pic:blipFill>
                  <pic:spPr>
                    <a:xfrm>
                      <a:off x="0" y="0"/>
                      <a:ext cx="4701534" cy="1692204"/>
                    </a:xfrm>
                    <a:prstGeom prst="rect">
                      <a:avLst/>
                    </a:prstGeom>
                    <a:ln w="12700" cap="flat">
                      <a:noFill/>
                      <a:miter lim="400000"/>
                    </a:ln>
                    <a:effectLst/>
                  </pic:spPr>
                </pic:pic>
              </a:graphicData>
            </a:graphic>
          </wp:anchor>
        </w:drawing>
      </w:r>
    </w:p>
    <w:p w14:paraId="140492ED" w14:textId="77777777" w:rsidR="00137DF8" w:rsidRDefault="00137DF8">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p>
    <w:p w14:paraId="0E855CDA" w14:textId="77777777" w:rsidR="00137DF8" w:rsidRDefault="00137DF8">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p>
    <w:p w14:paraId="5AAD6547"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lastRenderedPageBreak/>
        <w:drawing>
          <wp:anchor distT="152400" distB="152400" distL="152400" distR="152400" simplePos="0" relativeHeight="251664384" behindDoc="0" locked="0" layoutInCell="1" allowOverlap="1" wp14:anchorId="5D63DFE5" wp14:editId="5B912E54">
            <wp:simplePos x="0" y="0"/>
            <wp:positionH relativeFrom="margin">
              <wp:posOffset>-6349</wp:posOffset>
            </wp:positionH>
            <wp:positionV relativeFrom="line">
              <wp:posOffset>267294</wp:posOffset>
            </wp:positionV>
            <wp:extent cx="6184900" cy="2180948"/>
            <wp:effectExtent l="0" t="0" r="0" b="0"/>
            <wp:wrapThrough wrapText="bothSides" distL="152400" distR="152400">
              <wp:wrapPolygon edited="1">
                <wp:start x="0" y="0"/>
                <wp:lineTo x="21600" y="0"/>
                <wp:lineTo x="21600" y="21655"/>
                <wp:lineTo x="0" y="21655"/>
                <wp:lineTo x="0" y="0"/>
              </wp:wrapPolygon>
            </wp:wrapThrough>
            <wp:docPr id="1073741836" name="officeArt object" descr="Image"/>
            <wp:cNvGraphicFramePr/>
            <a:graphic xmlns:a="http://schemas.openxmlformats.org/drawingml/2006/main">
              <a:graphicData uri="http://schemas.openxmlformats.org/drawingml/2006/picture">
                <pic:pic xmlns:pic="http://schemas.openxmlformats.org/drawingml/2006/picture">
                  <pic:nvPicPr>
                    <pic:cNvPr id="1073741836" name="Image" descr="Image"/>
                    <pic:cNvPicPr>
                      <a:picLocks noChangeAspect="1"/>
                    </pic:cNvPicPr>
                  </pic:nvPicPr>
                  <pic:blipFill>
                    <a:blip r:embed="rId24"/>
                    <a:stretch>
                      <a:fillRect/>
                    </a:stretch>
                  </pic:blipFill>
                  <pic:spPr>
                    <a:xfrm>
                      <a:off x="0" y="0"/>
                      <a:ext cx="6184900" cy="2180948"/>
                    </a:xfrm>
                    <a:prstGeom prst="rect">
                      <a:avLst/>
                    </a:prstGeom>
                    <a:ln w="12700" cap="flat">
                      <a:noFill/>
                      <a:miter lim="400000"/>
                    </a:ln>
                    <a:effectLst/>
                  </pic:spPr>
                </pic:pic>
              </a:graphicData>
            </a:graphic>
          </wp:anchor>
        </w:drawing>
      </w:r>
    </w:p>
    <w:p w14:paraId="49133706"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0132C00B"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Ja antivielu titrs ir &lt; 0,5 IU/mL, izvērtējot balstvakcinācijas nepieciešamību jāņem vērā: paredzamā ekspozīcija ar trakumsērgu slimiem vai inficētiem dzīvniekiem + indivīda veselības stāvoklis (imūnsupresija) + pēcekspozīcijas profilakses pieejamība ekspozīcijas ar vīrusu gadījumā.</w:t>
      </w:r>
    </w:p>
    <w:p w14:paraId="12FE17D4"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NB! Atkārtotas vīrusa ekspozīcijas gadījumā šīs personas jāuztver kā iepriekš imunizētas un attiecīgi jāveic balstvakcinācija kā aprakstīts shēmā Nr. 3 un shēmā Nr. 4. </w:t>
      </w:r>
    </w:p>
    <w:p w14:paraId="38E4CB7A"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Retos gadījumos personām, kuras ir imūnkompetentas, neveidojas pietiekošs antivielu titrs individuālo imūnsistēmas īpatnību dēļ, tādēļ, izvērtējot risku, iespējams, būtu ieteicams veikt seroloģisko izmeklēšanu un pēc rezultātu iegūšanas ar vakcinācijas speciālistu izvērtēt vajadzību veikt atkārtotu vakcināciju.</w:t>
      </w:r>
    </w:p>
    <w:p w14:paraId="3C5ED3C9" w14:textId="77777777" w:rsidR="00137DF8" w:rsidRDefault="0024621C">
      <w:pPr>
        <w:spacing w:after="160" w:line="288" w:lineRule="auto"/>
        <w:jc w:val="center"/>
        <w:rPr>
          <w:rFonts w:ascii="Graphik" w:eastAsia="Graphik" w:hAnsi="Graphik" w:cs="Graphik"/>
          <w:b/>
          <w:bCs/>
          <w:color w:val="1C3780"/>
          <w:sz w:val="18"/>
          <w:szCs w:val="18"/>
          <w:u w:color="008CB4"/>
          <w14:textOutline w14:w="12700" w14:cap="flat" w14:cmpd="sng" w14:algn="ctr">
            <w14:noFill/>
            <w14:prstDash w14:val="solid"/>
            <w14:miter w14:lim="400000"/>
          </w14:textOutline>
        </w:rPr>
      </w:pPr>
      <w:r>
        <w:rPr>
          <w:rFonts w:ascii="Graphik" w:hAnsi="Graphik" w:cs="Arial Unicode MS"/>
          <w:b/>
          <w:bCs/>
          <w:color w:val="1C3780"/>
          <w:sz w:val="18"/>
          <w:szCs w:val="18"/>
          <w:u w:color="008CB4"/>
          <w14:textOutline w14:w="12700" w14:cap="flat" w14:cmpd="sng" w14:algn="ctr">
            <w14:noFill/>
            <w14:prstDash w14:val="solid"/>
            <w14:miter w14:lim="400000"/>
          </w14:textOutline>
        </w:rPr>
        <w:t xml:space="preserve">Balstvakcinācijas deva NAV nepieciešama, ja persona ceļo vai dzīvo endēmiskajā rajonā un iepriekš ir saņēmusi pilnu PrEP vai PEP kursu. </w:t>
      </w:r>
    </w:p>
    <w:p w14:paraId="1CEF9AB1" w14:textId="77777777" w:rsidR="00137DF8" w:rsidRDefault="0024621C">
      <w:pPr>
        <w:pStyle w:val="Default"/>
        <w:spacing w:after="16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t>Savvaļas vai mājdzīvnieku kodumu profilakse ceļojot uz trakumsērgas endēmiskajiem rajoniem</w:t>
      </w:r>
    </w:p>
    <w:p w14:paraId="2F0E3585" w14:textId="77777777" w:rsidR="00137DF8" w:rsidRDefault="0024621C" w:rsidP="00973DCD">
      <w:pPr>
        <w:pStyle w:val="Default"/>
        <w:spacing w:after="16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Lai mazinātu ekspozīcijas risku ar trakumsērgas vai citiem lissavīrusiem endēmiskajos rajonos rekomendē:</w:t>
      </w:r>
      <w:r>
        <w:rPr>
          <w:sz w:val="18"/>
          <w:szCs w:val="18"/>
          <w:u w:color="000000"/>
          <w14:textOutline w14:w="12700" w14:cap="flat" w14:cmpd="sng" w14:algn="ctr">
            <w14:noFill/>
            <w14:prstDash w14:val="solid"/>
            <w14:miter w14:lim="400000"/>
          </w14:textOutline>
        </w:rPr>
        <w:br/>
        <w:t>- izvairīties no kontakta ar savvaļas dzīvniekiem vai mājdzīvniekiem, īpaši tas attiecas uz maziem bērniem,</w:t>
      </w:r>
      <w:r>
        <w:rPr>
          <w:sz w:val="18"/>
          <w:szCs w:val="18"/>
          <w:u w:color="000000"/>
          <w14:textOutline w14:w="12700" w14:cap="flat" w14:cmpd="sng" w14:algn="ctr">
            <w14:noFill/>
            <w14:prstDash w14:val="solid"/>
            <w14:miter w14:lim="400000"/>
          </w14:textOutline>
        </w:rPr>
        <w:br/>
        <w:t>- izvairīties no kontakta ar klaiņojošiem suņiem vai kaķiem. Jābūt uzmanīgiem pastaigājoties, skrienot vai braucot ar riteni,</w:t>
      </w:r>
      <w:r>
        <w:rPr>
          <w:sz w:val="18"/>
          <w:szCs w:val="18"/>
          <w:u w:color="000000"/>
          <w14:textOutline w14:w="12700" w14:cap="flat" w14:cmpd="sng" w14:algn="ctr">
            <w14:noFill/>
            <w14:prstDash w14:val="solid"/>
            <w14:miter w14:lim="400000"/>
          </w14:textOutline>
        </w:rPr>
        <w:br/>
        <w:t>- neļaut bērniem barot, spēlēties vai glāstīt dzīvniekus,</w:t>
      </w:r>
      <w:r>
        <w:rPr>
          <w:sz w:val="18"/>
          <w:szCs w:val="18"/>
          <w:u w:color="000000"/>
          <w14:textOutline w14:w="12700" w14:cap="flat" w14:cmpd="sng" w14:algn="ctr">
            <w14:noFill/>
            <w14:prstDash w14:val="solid"/>
            <w14:miter w14:lim="400000"/>
          </w14:textOutline>
        </w:rPr>
        <w:br/>
        <w:t>- neņemt līdzi pārtiku, nebarot un neglāstīt mērkaķus arī populārās tūristu vietās, kur tūristus iedrošina tos barot. Īpaši uzmanīgiem jābūt no mērkaķu mātītēm, kas nēsā savus mazuļus, jo tās var negaidīti iekost vai ieskrāpēt, ja pēkšņi sajutīs briesmas,</w:t>
      </w:r>
      <w:r>
        <w:rPr>
          <w:sz w:val="18"/>
          <w:szCs w:val="18"/>
          <w:u w:color="000000"/>
          <w14:textOutline w14:w="12700" w14:cap="flat" w14:cmpd="sng" w14:algn="ctr">
            <w14:noFill/>
            <w14:prstDash w14:val="solid"/>
            <w14:miter w14:lim="400000"/>
          </w14:textOutline>
        </w:rPr>
        <w:br/>
        <w:t>- izvairīties no kontakta ar sikspārņiem. Tikai personas, kuras saņēmušas pirmsekspozīcijas profilaksi un kuras ir apmācītas, drīkst ņemt rokās sikspārņus. Ja tomēr nepieciešams sikspārni ņemt rokās, jāvelk aizsargājoši cimdi un apģērbs,</w:t>
      </w:r>
      <w:r>
        <w:rPr>
          <w:sz w:val="18"/>
          <w:szCs w:val="18"/>
          <w:u w:color="000000"/>
          <w14:textOutline w14:w="12700" w14:cap="flat" w14:cmpd="sng" w14:algn="ctr">
            <w14:noFill/>
            <w14:prstDash w14:val="solid"/>
            <w14:miter w14:lim="400000"/>
          </w14:textOutline>
        </w:rPr>
        <w:br/>
        <w:t>- izglītoties par pirmo palīdzību dzīvnieka koduma gadījumā, un zināt, no kādiem pasākumiem sastāv trakumsērgas pēcekspozīcijas profilakse.</w:t>
      </w:r>
    </w:p>
    <w:p w14:paraId="4F27F227"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4A819CE8"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11. Trakumsērgas vakcīnas un imūnglobulīni</w:t>
      </w:r>
    </w:p>
    <w:p w14:paraId="696D48D8" w14:textId="77777777" w:rsidR="00137DF8" w:rsidRDefault="0024621C" w:rsidP="00973DCD">
      <w:pPr>
        <w:pStyle w:val="Default"/>
        <w:spacing w:after="18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Šobrīd par drošām un efektīvām trakumsērgas vakcīnām PVO apstiprinājusi trīs vakcīnas:</w:t>
      </w:r>
      <w:r>
        <w:rPr>
          <w:sz w:val="18"/>
          <w:szCs w:val="18"/>
          <w:u w:color="000000"/>
          <w14:textOutline w14:w="12700" w14:cap="flat" w14:cmpd="sng" w14:algn="ctr">
            <w14:noFill/>
            <w14:prstDash w14:val="solid"/>
            <w14:miter w14:lim="400000"/>
          </w14:textOutline>
        </w:rPr>
        <w:br/>
        <w:t>- Verorab (</w:t>
      </w:r>
      <w:r>
        <w:rPr>
          <w:i/>
          <w:iCs/>
          <w:sz w:val="18"/>
          <w:szCs w:val="18"/>
          <w:u w:color="000000"/>
          <w14:textOutline w14:w="12700" w14:cap="flat" w14:cmpd="sng" w14:algn="ctr">
            <w14:noFill/>
            <w14:prstDash w14:val="solid"/>
            <w14:miter w14:lim="400000"/>
          </w14:textOutline>
        </w:rPr>
        <w:t>Sanofi Pasteur</w:t>
      </w:r>
      <w:r>
        <w:rPr>
          <w:sz w:val="18"/>
          <w:szCs w:val="18"/>
          <w:u w:color="000000"/>
          <w14:textOutline w14:w="12700" w14:cap="flat" w14:cmpd="sng" w14:algn="ctr">
            <w14:noFill/>
            <w14:prstDash w14:val="solid"/>
            <w14:miter w14:lim="400000"/>
          </w14:textOutline>
        </w:rPr>
        <w:t>): pieejama, reģistrēta un tiek izmantota trakumsērgas profilaksei Latvijā,</w:t>
      </w:r>
      <w:r>
        <w:rPr>
          <w:sz w:val="18"/>
          <w:szCs w:val="18"/>
          <w:u w:color="000000"/>
          <w14:textOutline w14:w="12700" w14:cap="flat" w14:cmpd="sng" w14:algn="ctr">
            <w14:noFill/>
            <w14:prstDash w14:val="solid"/>
            <w14:miter w14:lim="400000"/>
          </w14:textOutline>
        </w:rPr>
        <w:br/>
        <w:t>- Rabipur (</w:t>
      </w:r>
      <w:r>
        <w:rPr>
          <w:i/>
          <w:iCs/>
          <w:sz w:val="18"/>
          <w:szCs w:val="18"/>
          <w:u w:color="000000"/>
          <w14:textOutline w14:w="12700" w14:cap="flat" w14:cmpd="sng" w14:algn="ctr">
            <w14:noFill/>
            <w14:prstDash w14:val="solid"/>
            <w14:miter w14:lim="400000"/>
          </w14:textOutline>
        </w:rPr>
        <w:t>GSK</w:t>
      </w:r>
      <w:r>
        <w:rPr>
          <w:sz w:val="18"/>
          <w:szCs w:val="18"/>
          <w:u w:color="000000"/>
          <w14:textOutline w14:w="12700" w14:cap="flat" w14:cmpd="sng" w14:algn="ctr">
            <w14:noFill/>
            <w14:prstDash w14:val="solid"/>
            <w14:miter w14:lim="400000"/>
          </w14:textOutline>
        </w:rPr>
        <w:t>): pieejama un reģistrēta citās Eiropas valstīs (Zviedrijā, Beļģijā, Lielbritānijā, Spānijā, Vācijā, Francijā, Austrijā),</w:t>
      </w:r>
      <w:r>
        <w:rPr>
          <w:sz w:val="18"/>
          <w:szCs w:val="18"/>
          <w:u w:color="000000"/>
          <w14:textOutline w14:w="12700" w14:cap="flat" w14:cmpd="sng" w14:algn="ctr">
            <w14:noFill/>
            <w14:prstDash w14:val="solid"/>
            <w14:miter w14:lim="400000"/>
          </w14:textOutline>
        </w:rPr>
        <w:br/>
        <w:t>- Rabavert (</w:t>
      </w:r>
      <w:r>
        <w:rPr>
          <w:i/>
          <w:iCs/>
          <w:sz w:val="18"/>
          <w:szCs w:val="18"/>
          <w:u w:color="000000"/>
          <w14:textOutline w14:w="12700" w14:cap="flat" w14:cmpd="sng" w14:algn="ctr">
            <w14:noFill/>
            <w14:prstDash w14:val="solid"/>
            <w14:miter w14:lim="400000"/>
          </w14:textOutline>
        </w:rPr>
        <w:t>GSK</w:t>
      </w:r>
      <w:r>
        <w:rPr>
          <w:sz w:val="18"/>
          <w:szCs w:val="18"/>
          <w:u w:color="000000"/>
          <w14:textOutline w14:w="12700" w14:cap="flat" w14:cmpd="sng" w14:algn="ctr">
            <w14:noFill/>
            <w14:prstDash w14:val="solid"/>
            <w14:miter w14:lim="400000"/>
          </w14:textOutline>
        </w:rPr>
        <w:t>): pieejama un reģistrēta Amerikas Savienotajās valstīs un Kanādā.</w:t>
      </w:r>
    </w:p>
    <w:p w14:paraId="20907B22" w14:textId="77777777" w:rsidR="00137DF8" w:rsidRDefault="0024621C">
      <w:pPr>
        <w:pStyle w:val="Default"/>
        <w:spacing w:after="18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lastRenderedPageBreak/>
        <w:t>Vakcīnu ievades veidi</w:t>
      </w:r>
    </w:p>
    <w:p w14:paraId="443F3720" w14:textId="743981BF" w:rsidR="002D61D6" w:rsidRDefault="0024621C" w:rsidP="00600FA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Vienā trakumsērgas vakcīnas flakonā ir viena vakcīnas deva. Vakcīnu, kas atšķaidīta ar 0,5 vai 1 ml sterilu šķīdumu IM ievadei (atkarībā no ražotāja), tās stiprums ir &gt;2,5 IU devā, var izmantot gan PrEP, gan PEP. Vienāda vakcīnas deva pielietojama gan zīdaiņiem, gan bērniem, gan pieaugušajiem.</w:t>
      </w:r>
      <w:r>
        <w:rPr>
          <w:sz w:val="18"/>
          <w:szCs w:val="18"/>
          <w:u w:color="000000"/>
          <w14:textOutline w14:w="12700" w14:cap="flat" w14:cmpd="sng" w14:algn="ctr">
            <w14:noFill/>
            <w14:prstDash w14:val="solid"/>
            <w14:miter w14:lim="400000"/>
          </w14:textOutline>
        </w:rPr>
        <w:br/>
        <w:t>Šo pašu vakcīnu ID ievadi PVO apstiprina kā drošu, pietiekami imunogēnu, devu un izmaksu taupošu alternatīvu situācijās, ja ir nepietiekams vakcīnu nodrošinājums. Vakcīnas, kas pēc lietošanas instrukcijas paredzētas ievadīt IM, var tikt lietotas ID to ievadei (</w:t>
      </w:r>
      <w:r>
        <w:rPr>
          <w:i/>
          <w:iCs/>
          <w:sz w:val="18"/>
          <w:szCs w:val="18"/>
          <w:u w:color="000000"/>
          <w14:textOutline w14:w="12700" w14:cap="flat" w14:cmpd="sng" w14:algn="ctr">
            <w14:noFill/>
            <w14:prstDash w14:val="solid"/>
            <w14:miter w14:lim="400000"/>
          </w14:textOutline>
        </w:rPr>
        <w:t>off-label</w:t>
      </w:r>
      <w:r>
        <w:rPr>
          <w:sz w:val="18"/>
          <w:szCs w:val="18"/>
          <w:u w:color="000000"/>
          <w14:textOutline w14:w="12700" w14:cap="flat" w14:cmpd="sng" w14:algn="ctr">
            <w14:noFill/>
            <w14:prstDash w14:val="solid"/>
            <w14:miter w14:lim="400000"/>
          </w14:textOutline>
        </w:rPr>
        <w:t>). Vakcīnu ražotājiem jānodrošina klīniskie pierādījumi un jānorāda produkta aprakstā vai lietošanas instrukcijā, ka, ievadot vakcīnas ID, tās ir tikpat imunogēnas, drošas un efektīvas, kā tās ievadot IM. Nepieciešama personāla apmācība precīzai vakcīnas ievadīšanai ID, izvairoties no nejaušas subkutānas vakcīnas ievades.</w:t>
      </w:r>
    </w:p>
    <w:p w14:paraId="4832B13F" w14:textId="77777777" w:rsidR="002D61D6" w:rsidRDefault="002D61D6">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5BC6A9EF"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t>Attēls Nr. 1. Vakcīnas IM ievadīšanas lokalizācijas vietas</w:t>
      </w:r>
    </w:p>
    <w:p w14:paraId="6F720CD0" w14:textId="77777777" w:rsidR="00137DF8" w:rsidRDefault="00973DCD">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1312" behindDoc="0" locked="0" layoutInCell="1" allowOverlap="1" wp14:anchorId="6BAB3A0F" wp14:editId="22DF40B8">
            <wp:simplePos x="0" y="0"/>
            <wp:positionH relativeFrom="margin">
              <wp:posOffset>-10160</wp:posOffset>
            </wp:positionH>
            <wp:positionV relativeFrom="line">
              <wp:posOffset>63500</wp:posOffset>
            </wp:positionV>
            <wp:extent cx="3275330" cy="3323590"/>
            <wp:effectExtent l="0" t="0" r="1270" b="0"/>
            <wp:wrapThrough wrapText="bothSides" distL="152400" distR="152400">
              <wp:wrapPolygon edited="1">
                <wp:start x="0" y="0"/>
                <wp:lineTo x="21621" y="0"/>
                <wp:lineTo x="21621" y="21600"/>
                <wp:lineTo x="0" y="21600"/>
                <wp:lineTo x="0" y="0"/>
              </wp:wrapPolygon>
            </wp:wrapThrough>
            <wp:docPr id="1073741837" name="officeArt object" descr="Image"/>
            <wp:cNvGraphicFramePr/>
            <a:graphic xmlns:a="http://schemas.openxmlformats.org/drawingml/2006/main">
              <a:graphicData uri="http://schemas.openxmlformats.org/drawingml/2006/picture">
                <pic:pic xmlns:pic="http://schemas.openxmlformats.org/drawingml/2006/picture">
                  <pic:nvPicPr>
                    <pic:cNvPr id="1073741837" name="Image" descr="Image"/>
                    <pic:cNvPicPr>
                      <a:picLocks noChangeAspect="1"/>
                    </pic:cNvPicPr>
                  </pic:nvPicPr>
                  <pic:blipFill>
                    <a:blip r:embed="rId25"/>
                    <a:stretch>
                      <a:fillRect/>
                    </a:stretch>
                  </pic:blipFill>
                  <pic:spPr>
                    <a:xfrm>
                      <a:off x="0" y="0"/>
                      <a:ext cx="3275330" cy="332359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5628359"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2F55A382"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036E7238"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3F208677"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5DD35EF1"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10EE29FB"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1BCD4147"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2C4DF206"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454A909E"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589ADF54" w14:textId="77777777" w:rsidR="00137DF8" w:rsidRDefault="00137DF8">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487682DD" w14:textId="77777777" w:rsidR="00137DF8" w:rsidRDefault="00137DF8">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058740F7" w14:textId="77777777" w:rsidR="002D61D6" w:rsidRDefault="002D61D6">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30D3EDB1" w14:textId="77777777" w:rsidR="002D61D6" w:rsidRDefault="002D61D6">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4D526E5A"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Profilakses veikšanai vēlams izmantot viena un tā paša ražotāja vakcīnu, taču nepieciešamības gadījumā drīkst izmantot citas PVO apstiprinātās vakcīnas. Vakcīnu derīguma termiņš ir aptuveni 3 gadi. Pēc vakcīnas atvēršanas to drīkst uzglabāt 2 - 8’C ne ilgāk kā 6 - 8 stundas.</w:t>
      </w:r>
    </w:p>
    <w:p w14:paraId="6E603E5F" w14:textId="77777777" w:rsidR="00137DF8" w:rsidRDefault="0024621C">
      <w:pPr>
        <w:pStyle w:val="Default"/>
        <w:spacing w:after="18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t>Nevēlamas reakcijas pēc imunizācijas</w:t>
      </w:r>
    </w:p>
    <w:p w14:paraId="7D45ADE1"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Kopumā PVO apstiprinātās vakcīnas ir efektīvas un tiek labi panestas. 35 - 45% gadījumu novēro vieglu, pārejošu eritēmu, sāpes vai pietūkumu injekcijas vietā, visbiežāk pēc intradermālas vakcīnas ievades. 5 - 15% gadījumu novēro tādus sistēmiskus simptomus kā pārejošu drudzi, galvassāpes, galvas reiboņi. Smagas nevēlamas reakcijas novēro reti, turklāt vēsturiskam uzskatam par </w:t>
      </w:r>
      <w:r>
        <w:rPr>
          <w:i/>
          <w:iCs/>
          <w:sz w:val="18"/>
          <w:szCs w:val="18"/>
          <w:u w:color="000000"/>
          <w14:textOutline w14:w="12700" w14:cap="flat" w14:cmpd="sng" w14:algn="ctr">
            <w14:noFill/>
            <w14:prstDash w14:val="solid"/>
            <w14:miter w14:lim="400000"/>
          </w14:textOutline>
        </w:rPr>
        <w:t>Guillain - Barre</w:t>
      </w:r>
      <w:r>
        <w:rPr>
          <w:sz w:val="18"/>
          <w:szCs w:val="18"/>
          <w:u w:color="000000"/>
          <w14:textOutline w14:w="12700" w14:cap="flat" w14:cmpd="sng" w14:algn="ctr">
            <w14:noFill/>
            <w14:prstDash w14:val="solid"/>
            <w14:miter w14:lim="400000"/>
          </w14:textOutline>
        </w:rPr>
        <w:t xml:space="preserve"> sindroma saistību ar vakcīnu nav pierādīta cēloņu seku saistība ar vakcināciju. </w:t>
      </w:r>
    </w:p>
    <w:p w14:paraId="752C9C2D"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Novēlota vēršanās pēc medicīniskās palīdzības, neatbilstoša brūču apdare jeb atsevišķu brūču nepamanīšana (nepareiza imūnglobulīna ievade), pacienta nelīdzestība vakcinācijas veikšanai pēc shēmas, kā arī PVO neapstiprinātu vakcīnu lietošana var novest pie profilakses neveiksmes, un sekojoši pie nāves. </w:t>
      </w:r>
    </w:p>
    <w:p w14:paraId="4B706BE6"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Personām, kurām ir zināma alerģija pret ovalbumīnu, pirmsekspozīcijas un pēcekspozīcijas profilaksei izmanto cilvēka diploīdo šūnu vakcīnu (HDCV; </w:t>
      </w:r>
      <w:r>
        <w:rPr>
          <w:i/>
          <w:iCs/>
          <w:sz w:val="18"/>
          <w:szCs w:val="18"/>
          <w:u w:color="000000"/>
          <w14:textOutline w14:w="12700" w14:cap="flat" w14:cmpd="sng" w14:algn="ctr">
            <w14:noFill/>
            <w14:prstDash w14:val="solid"/>
            <w14:miter w14:lim="400000"/>
          </w14:textOutline>
        </w:rPr>
        <w:t>Merieux Inactivated Rabies Vaccine</w:t>
      </w:r>
      <w:r>
        <w:rPr>
          <w:sz w:val="18"/>
          <w:szCs w:val="18"/>
          <w:u w:color="000000"/>
          <w14:textOutline w14:w="12700" w14:cap="flat" w14:cmpd="sng" w14:algn="ctr">
            <w14:noFill/>
            <w14:prstDash w14:val="solid"/>
            <w14:miter w14:lim="400000"/>
          </w14:textOutline>
        </w:rPr>
        <w:t xml:space="preserve">)! Konkrētā vakcīna pieejama un reģistrēta Jaunzēlandē. </w:t>
      </w:r>
    </w:p>
    <w:p w14:paraId="32E832A5" w14:textId="77777777" w:rsidR="00137DF8" w:rsidRDefault="0024621C">
      <w:pPr>
        <w:pStyle w:val="Default"/>
        <w:spacing w:after="18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lastRenderedPageBreak/>
        <w:t>Imunitātes ilgums</w:t>
      </w:r>
    </w:p>
    <w:p w14:paraId="10EBA07D"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PrEP novērš nepieciešamību pēc RIG gadījumā, ja notikusi ekspozīcija ar potenciāli inficētu dzīvnieku. Vakcīnu indicētā imunitāte ir mūžilga (ja pēc ekspozīcijas tiek saņemta PEP), neņemot vērā to, ka ar laiku antivielu titrs ievērojami mazinās vai arī antivielas perifērajās asinīs vispār nav vairs nosakāmas. Personām, kuras saņēmušas PrEP vai PEP, imūnās atbildes reakciju var novērot 7 dienu laikā pēc balstvakcinācijas devas ievades, neatkarīgi no tā, pirms cik ilga laika vakcinācija ir veikta, un neatkarīgi no antivielu līmeņa pirms balstvakcinācijas devas saņemšanas.</w:t>
      </w:r>
      <w:r>
        <w:rPr>
          <w:sz w:val="18"/>
          <w:szCs w:val="18"/>
          <w:u w:color="000000"/>
          <w14:textOutline w14:w="12700" w14:cap="flat" w14:cmpd="sng" w14:algn="ctr">
            <w14:noFill/>
            <w14:prstDash w14:val="solid"/>
            <w14:miter w14:lim="400000"/>
          </w14:textOutline>
        </w:rPr>
        <w:br/>
        <w:t xml:space="preserve">Pēc vakcinācijas shēmas pabeigšanas balstvakcinācijas devas nav nepieciešamas, izņemot personām, kuras dzīvo endēmiskā rajonā un ir pakļautas augstam inficēšanās riskam, un izņemot personas, kuras iepriekš bijušas vakcinētas, bet atkārtotas ekspozīcijas dēļ ar trakumsērgu, nepieciešams veikt PEP. </w:t>
      </w:r>
    </w:p>
    <w:p w14:paraId="3A7885E5" w14:textId="77777777" w:rsidR="00071879" w:rsidRDefault="00071879">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3CB57BA8" w14:textId="77777777" w:rsidR="00137DF8" w:rsidRDefault="0024621C">
      <w:pPr>
        <w:pStyle w:val="Default"/>
        <w:spacing w:after="180" w:line="288" w:lineRule="auto"/>
        <w:jc w:val="both"/>
        <w:outlineLvl w:val="0"/>
        <w:rPr>
          <w:rFonts w:ascii="Graphik Semibold" w:eastAsia="Graphik Semibold" w:hAnsi="Graphik Semibold" w:cs="Graphik Semibold"/>
          <w:sz w:val="18"/>
          <w:szCs w:val="18"/>
          <w:u w:color="000000"/>
          <w14:textOutline w14:w="12700" w14:cap="flat" w14:cmpd="sng" w14:algn="ctr">
            <w14:noFill/>
            <w14:prstDash w14:val="solid"/>
            <w14:miter w14:lim="400000"/>
          </w14:textOutline>
        </w:rPr>
      </w:pPr>
      <w:r>
        <w:rPr>
          <w:rFonts w:ascii="Graphik Semibold" w:hAnsi="Graphik Semibold"/>
          <w:sz w:val="18"/>
          <w:szCs w:val="18"/>
          <w:u w:color="000000"/>
          <w14:textOutline w14:w="12700" w14:cap="flat" w14:cmpd="sng" w14:algn="ctr">
            <w14:noFill/>
            <w14:prstDash w14:val="solid"/>
            <w14:miter w14:lim="400000"/>
          </w14:textOutline>
        </w:rPr>
        <w:t>Rabies imūnglobulīns (RIG)</w:t>
      </w:r>
    </w:p>
    <w:p w14:paraId="1955B13A" w14:textId="77777777" w:rsidR="00137DF8" w:rsidRDefault="0024621C" w:rsidP="00071879">
      <w:pPr>
        <w:pStyle w:val="Default"/>
        <w:spacing w:after="180" w:line="288" w:lineRule="auto"/>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Ir pieejami 3 dažādu veidu bioloģiskie produkti pasīvai imunizācijai pret trakumsērgu:</w:t>
      </w:r>
      <w:r>
        <w:rPr>
          <w:sz w:val="18"/>
          <w:szCs w:val="18"/>
          <w:u w:color="000000"/>
          <w14:textOutline w14:w="12700" w14:cap="flat" w14:cmpd="sng" w14:algn="ctr">
            <w14:noFill/>
            <w14:prstDash w14:val="solid"/>
            <w14:miter w14:lim="400000"/>
          </w14:textOutline>
        </w:rPr>
        <w:br/>
        <w:t>- cilvēka trakumsērgas imūnglobulīns (hRIG),</w:t>
      </w:r>
      <w:r>
        <w:rPr>
          <w:sz w:val="18"/>
          <w:szCs w:val="18"/>
          <w:u w:color="000000"/>
          <w14:textOutline w14:w="12700" w14:cap="flat" w14:cmpd="sng" w14:algn="ctr">
            <w14:noFill/>
            <w14:prstDash w14:val="solid"/>
            <w14:miter w14:lim="400000"/>
          </w14:textOutline>
        </w:rPr>
        <w:br/>
        <w:t>- zirga trakumsērgas imūnglobulīns (eRIG),</w:t>
      </w:r>
      <w:r>
        <w:rPr>
          <w:sz w:val="18"/>
          <w:szCs w:val="18"/>
          <w:u w:color="000000"/>
          <w14:textOutline w14:w="12700" w14:cap="flat" w14:cmpd="sng" w14:algn="ctr">
            <w14:noFill/>
            <w14:prstDash w14:val="solid"/>
            <w14:miter w14:lim="400000"/>
          </w14:textOutline>
        </w:rPr>
        <w:br/>
        <w:t>- augstu attīrīti F(ab’) 2 fragmenti, kas pagatavoti no zirga imūnglobulīna.</w:t>
      </w:r>
    </w:p>
    <w:p w14:paraId="077CC5B5"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Latvijā ir pieejami un tiek lietoti: hRIG </w:t>
      </w:r>
      <w:r>
        <w:rPr>
          <w:i/>
          <w:iCs/>
          <w:sz w:val="18"/>
          <w:szCs w:val="18"/>
          <w:u w:color="000000"/>
          <w14:textOutline w14:w="12700" w14:cap="flat" w14:cmpd="sng" w14:algn="ctr">
            <w14:noFill/>
            <w14:prstDash w14:val="solid"/>
            <w14:miter w14:lim="400000"/>
          </w14:textOutline>
        </w:rPr>
        <w:t>Imogam Rabies</w:t>
      </w:r>
      <w:r>
        <w:rPr>
          <w:sz w:val="18"/>
          <w:szCs w:val="18"/>
          <w:u w:color="000000"/>
          <w14:textOutline w14:w="12700" w14:cap="flat" w14:cmpd="sng" w14:algn="ctr">
            <w14:noFill/>
            <w14:prstDash w14:val="solid"/>
            <w14:miter w14:lim="400000"/>
          </w14:textOutline>
        </w:rPr>
        <w:t xml:space="preserve"> 150 IU/ml šķidrums injekcijām, </w:t>
      </w:r>
      <w:r>
        <w:rPr>
          <w:i/>
          <w:iCs/>
          <w:sz w:val="18"/>
          <w:szCs w:val="18"/>
          <w:u w:color="000000"/>
          <w14:textOutline w14:w="12700" w14:cap="flat" w14:cmpd="sng" w14:algn="ctr">
            <w14:noFill/>
            <w14:prstDash w14:val="solid"/>
            <w14:miter w14:lim="400000"/>
          </w14:textOutline>
        </w:rPr>
        <w:t>Imunoglobulin antirabichnij (Kinskij)</w:t>
      </w:r>
      <w:r>
        <w:rPr>
          <w:sz w:val="18"/>
          <w:szCs w:val="18"/>
          <w:u w:color="000000"/>
          <w14:textOutline w14:w="12700" w14:cap="flat" w14:cmpd="sng" w14:algn="ctr">
            <w14:noFill/>
            <w14:prstDash w14:val="solid"/>
            <w14:miter w14:lim="400000"/>
          </w14:textOutline>
        </w:rPr>
        <w:t xml:space="preserve"> (Latvijā nereģistrēts medikaments, ko ieved uz individuālu pieprasījumu pamata), prettrakumsērgas imunoglobulīns no zirga asinīm (Latvijā nereģistrēts medikaments, ko ieved uz individuālu pieprasījumu pamata). </w:t>
      </w:r>
    </w:p>
    <w:p w14:paraId="58B956BE"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RIG jāievada reizē ar vakcīnas 1. devu, un imūnglobulīns jāievada tieši brūcē vai ap to. Papildus imunizācijas pasākumiem jāveic skrupuloza brūces tīrīšana un rūpīga tās skalošana, kā arī antiseptiska līdzekļa aplikācija uz brūces. Gadījumā, ja brūce nav redzama, bet ir aizdomas par potenciāli inficēta dzīvnieka siekalu nokļūšanu uz gļotādām vai ir bijis kontakts ar sikspārni, tad visu RIG ievada intramuskulāri, priekšroku dodot augšstilba anterolaterālajai daļai vai deltveida muskulim kontralaterāli no vakcīnas ievades puses. Bērniem ar mazu muskuļu masu apsvērt kopējās devas sadalīšanu un ievadi vairākās anatomiskajās lokalizācijās (tikai ne gluteālajā rajonā). </w:t>
      </w:r>
    </w:p>
    <w:p w14:paraId="59419462"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Cilvēka RIG ievada 20 IU/kg (maksimālā deva), bet zirga RIG ievada 40 IU/kg (maksimālā deva) neatkarīgi no vecuma. RIG jāievada maksimāli daudz brūcē un ap to. Atlikušo daudzumu ievada IM, taču ne tajā pašā muskulī, kur veikta vakcīnas injekcija. Zirga RIG izmaksu ziņā ir ekonomiskāks kā cilvēka, taču tas ir pietiekami potents, labi attīrīts un drošs lietošanai. Latvijā trakumsērgas PEP bērniem ievada tikai cilvēka RIG.</w:t>
      </w:r>
    </w:p>
    <w:p w14:paraId="43E659E1" w14:textId="77777777" w:rsidR="00137DF8" w:rsidRDefault="0024621C">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Seruma slimība attīstās 1 - 3% recipientu 1 nedēļas laikā pēc augsti attīrīta zirga RIG, anafilaktiskas reakcijas attīstības risks ir zems (1/150000 gadījumu). Pirms zirga RIG ievades nerekomendē veikt ādas testus, un, pat ja tādi tiek veikti, to rezultāti nevar kalpot par iemeslu zirga RIG ievades atcelšanai, situācijās, kad RIG ir nepieciešams. Šī imūnglobulīna ievades laikā jābūt nodrošinātiem visiem apstākļiem, lai savlaicīgi atpazītu un ārstētu anafilaktisku reakciju. </w:t>
      </w:r>
    </w:p>
    <w:p w14:paraId="7712E440" w14:textId="77777777" w:rsidR="00137DF8" w:rsidRDefault="00137DF8">
      <w:pPr>
        <w:pStyle w:val="Default"/>
        <w:spacing w:after="180" w:line="288" w:lineRule="auto"/>
        <w:jc w:val="both"/>
        <w:outlineLvl w:val="0"/>
        <w:rPr>
          <w:rFonts w:hint="eastAsia"/>
          <w:sz w:val="18"/>
          <w:szCs w:val="18"/>
          <w:u w:color="000000"/>
          <w14:textOutline w14:w="12700" w14:cap="flat" w14:cmpd="sng" w14:algn="ctr">
            <w14:noFill/>
            <w14:prstDash w14:val="solid"/>
            <w14:miter w14:lim="400000"/>
          </w14:textOutline>
        </w:rPr>
      </w:pPr>
    </w:p>
    <w:p w14:paraId="2ACB7173" w14:textId="77777777" w:rsidR="00137DF8" w:rsidRPr="0021328C" w:rsidRDefault="0024621C">
      <w:pPr>
        <w:pStyle w:val="Default"/>
        <w:spacing w:after="180" w:line="288" w:lineRule="auto"/>
        <w:jc w:val="both"/>
        <w:outlineLvl w:val="0"/>
        <w:rPr>
          <w:rFonts w:hint="eastAsia"/>
          <w:b/>
          <w:bCs/>
          <w:sz w:val="18"/>
          <w:szCs w:val="18"/>
          <w:u w:color="000000"/>
          <w:lang w:val="es-ES"/>
          <w14:textOutline w14:w="12700" w14:cap="flat" w14:cmpd="sng" w14:algn="ctr">
            <w14:noFill/>
            <w14:prstDash w14:val="solid"/>
            <w14:miter w14:lim="400000"/>
          </w14:textOutline>
        </w:rPr>
      </w:pPr>
      <w:r w:rsidRPr="0021328C">
        <w:rPr>
          <w:b/>
          <w:bCs/>
          <w:sz w:val="18"/>
          <w:szCs w:val="18"/>
          <w:u w:color="000000"/>
          <w:lang w:val="es-ES"/>
          <w14:textOutline w14:w="12700" w14:cap="flat" w14:cmpd="sng" w14:algn="ctr">
            <w14:noFill/>
            <w14:prstDash w14:val="solid"/>
            <w14:miter w14:lim="400000"/>
          </w14:textOutline>
        </w:rPr>
        <w:t>12. Trakumsērgas gadījumu klīniskā un laboratoriskā diagnostika</w:t>
      </w:r>
    </w:p>
    <w:p w14:paraId="59CC088A"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Trakumsērga ir akūts, progresējošs encefalīts, ko ierosina atsevišķi </w:t>
      </w:r>
      <w:r w:rsidRPr="0021328C">
        <w:rPr>
          <w:i/>
          <w:iCs/>
          <w:sz w:val="18"/>
          <w:szCs w:val="18"/>
          <w:u w:color="000000"/>
          <w:lang w:val="es-ES"/>
          <w14:textOutline w14:w="12700" w14:cap="flat" w14:cmpd="sng" w14:algn="ctr">
            <w14:noFill/>
            <w14:prstDash w14:val="solid"/>
            <w14:miter w14:lim="400000"/>
          </w14:textOutline>
        </w:rPr>
        <w:t>Lyssavirus</w:t>
      </w:r>
      <w:r w:rsidRPr="0021328C">
        <w:rPr>
          <w:sz w:val="18"/>
          <w:szCs w:val="18"/>
          <w:u w:color="000000"/>
          <w:lang w:val="es-ES"/>
          <w14:textOutline w14:w="12700" w14:cap="flat" w14:cmpd="sng" w14:algn="ctr">
            <w14:noFill/>
            <w14:prstDash w14:val="solid"/>
            <w14:miter w14:lim="400000"/>
          </w14:textOutline>
        </w:rPr>
        <w:t xml:space="preserve"> ģints vīrusi, galvenokārt, 1. filogrupai piederošai trakumsērgas lisavīruss (RABV jeb 1. genotips), kas ir vai bijis sastopams visur pasaulē, izņemot Austrāliju, Jaunzēlandi, Japānu un dažas citas teritorijas. Retos gadījumos slimību var izraisīt sikspārņu lisavīrusi. Diagnostikas shēma var atšķirties, ja paraugus paredzēts iegūt no dzīvas personas vai postmortāli.</w:t>
      </w:r>
    </w:p>
    <w:p w14:paraId="03708614" w14:textId="77777777" w:rsidR="00137DF8" w:rsidRPr="0021328C" w:rsidRDefault="0024621C" w:rsidP="00071879">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Diagnostikā iespējams izmantot sekojošas diagnostikas metožu grupas:</w:t>
      </w:r>
      <w:r w:rsidRPr="0021328C">
        <w:rPr>
          <w:sz w:val="18"/>
          <w:szCs w:val="18"/>
          <w:u w:color="000000"/>
          <w:lang w:val="es-ES"/>
          <w14:textOutline w14:w="12700" w14:cap="flat" w14:cmpd="sng" w14:algn="ctr">
            <w14:noFill/>
            <w14:prstDash w14:val="solid"/>
            <w14:miter w14:lim="400000"/>
          </w14:textOutline>
        </w:rPr>
        <w:br/>
        <w:t>- vīrusu antigēnu noteikšana bioloģiskajos paraugos ar tiešo fluorescento antivielu testu (smadzenēs, ādā ar matu folikuliem),</w:t>
      </w:r>
      <w:r w:rsidRPr="0021328C">
        <w:rPr>
          <w:sz w:val="18"/>
          <w:szCs w:val="18"/>
          <w:u w:color="000000"/>
          <w:lang w:val="es-ES"/>
          <w14:textOutline w14:w="12700" w14:cap="flat" w14:cmpd="sng" w14:algn="ctr">
            <w14:noFill/>
            <w14:prstDash w14:val="solid"/>
            <w14:miter w14:lim="400000"/>
          </w14:textOutline>
        </w:rPr>
        <w:br/>
        <w:t>- vīrusa nukleīnskābju noteikšana bioloģiskajos paraugos (smadzenes, āda, siekalas, cerebrospinālais šķidrums (CSŠ), koncentrēts urīns, asaras) ar reversās transkripcijas polimerāzes ķēdes reakciju (konvencionālo un reālā laika),</w:t>
      </w:r>
      <w:r w:rsidRPr="0021328C">
        <w:rPr>
          <w:sz w:val="18"/>
          <w:szCs w:val="18"/>
          <w:u w:color="000000"/>
          <w:lang w:val="es-ES"/>
          <w14:textOutline w14:w="12700" w14:cap="flat" w14:cmpd="sng" w14:algn="ctr">
            <w14:noFill/>
            <w14:prstDash w14:val="solid"/>
            <w14:miter w14:lim="400000"/>
          </w14:textOutline>
        </w:rPr>
        <w:br/>
        <w:t xml:space="preserve">- vīrusa izdalīšana no audu, siekalu un CSŠ paraugiem šūnu kultūrās (valstis, kurās ieviesta šūnu kultūru metode no bioraudzes dzīvniekos atsakās), </w:t>
      </w:r>
      <w:r w:rsidRPr="0021328C">
        <w:rPr>
          <w:sz w:val="18"/>
          <w:szCs w:val="18"/>
          <w:u w:color="000000"/>
          <w:lang w:val="es-ES"/>
          <w14:textOutline w14:w="12700" w14:cap="flat" w14:cmpd="sng" w14:algn="ctr">
            <w14:noFill/>
            <w14:prstDash w14:val="solid"/>
            <w14:miter w14:lim="400000"/>
          </w14:textOutline>
        </w:rPr>
        <w:br/>
        <w:t xml:space="preserve">- specifisko trakumsērgas vīrusa antivielu noteikšana cerebrospinālajā šķidrumā vai iepriekš nevakcinētas personas asins </w:t>
      </w:r>
      <w:r w:rsidRPr="0021328C">
        <w:rPr>
          <w:sz w:val="18"/>
          <w:szCs w:val="18"/>
          <w:u w:color="000000"/>
          <w:lang w:val="es-ES"/>
          <w14:textOutline w14:w="12700" w14:cap="flat" w14:cmpd="sng" w14:algn="ctr">
            <w14:noFill/>
            <w14:prstDash w14:val="solid"/>
            <w14:miter w14:lim="400000"/>
          </w14:textOutline>
        </w:rPr>
        <w:lastRenderedPageBreak/>
        <w:t>serumā ar modificētajām vīrusa neitralizācijas reakcijām vai imūnfermentatīvajām metodēm (</w:t>
      </w:r>
      <w:r w:rsidRPr="0021328C">
        <w:rPr>
          <w:i/>
          <w:iCs/>
          <w:sz w:val="18"/>
          <w:szCs w:val="18"/>
          <w:u w:color="000000"/>
          <w:lang w:val="es-ES"/>
          <w14:textOutline w14:w="12700" w14:cap="flat" w14:cmpd="sng" w14:algn="ctr">
            <w14:noFill/>
            <w14:prstDash w14:val="solid"/>
            <w14:miter w14:lim="400000"/>
          </w14:textOutline>
        </w:rPr>
        <w:t>IFA, ELISA</w:t>
      </w:r>
      <w:r w:rsidRPr="0021328C">
        <w:rPr>
          <w:sz w:val="18"/>
          <w:szCs w:val="18"/>
          <w:u w:color="000000"/>
          <w:lang w:val="es-ES"/>
          <w14:textOutline w14:w="12700" w14:cap="flat" w14:cmpd="sng" w14:algn="ctr">
            <w14:noFill/>
            <w14:prstDash w14:val="solid"/>
            <w14:miter w14:lim="400000"/>
          </w14:textOutline>
        </w:rPr>
        <w:t>),</w:t>
      </w:r>
      <w:r w:rsidRPr="0021328C">
        <w:rPr>
          <w:sz w:val="18"/>
          <w:szCs w:val="18"/>
          <w:u w:color="000000"/>
          <w:lang w:val="es-ES"/>
          <w14:textOutline w14:w="12700" w14:cap="flat" w14:cmpd="sng" w14:algn="ctr">
            <w14:noFill/>
            <w14:prstDash w14:val="solid"/>
            <w14:miter w14:lim="400000"/>
          </w14:textOutline>
        </w:rPr>
        <w:br/>
        <w:t>- vīrusa precīzākai raksturošanai ar molekulārās bioloģijas metodēm izmanto daļēju vai pilnīgu vīrusa genoma sekvenēšanu, piemēram, gadījumos, kad jāveic filoģenētiskā analīze un jāpierāda iespējamā vīrusa izcelsme (pēc nukleoproteīna N gēna sekvences).</w:t>
      </w:r>
    </w:p>
    <w:p w14:paraId="0ED46EFB"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Klīniskā diagnostika</w:t>
      </w:r>
    </w:p>
    <w:p w14:paraId="06B25221"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Par iespējamu trakumsērgas diagnozi domā, ja personai ir kādi no tipiskajiem trakumsērgas simptomiem un personai ir bijis kontakts ar dzīvnieku, kuram ir apstiprināta trakumsērga. Tipiskās muskuļu spazmas var izpausties objektīvās izmeklēšanas laikā; spontānas inspiratoras spazmas var turpināties līdz pat nāvei. Uzbudinājums reti sastopams paralītiskās trakumsērgas gadījumā. Šīs trakumsērgas formas gadījumā fobiju izraisītās muskuļu spazmas novēro aptuveni pusei pacientu. Agrīni var novērot tādas pazīmes kā muskuļu tūsku (deltveida, augštilba, krūškurvja muskuļi), kā arī muskuļu fascikulāciju. Tipiskās klīniskās pazīmes ir muskuļu spazmas kā atbildes reakcija uz taktilajiem, dzirdes, vizuālajiem un ožas stimulatoriem (piemēram, aerofobija, hidrofobija), kā arī skaidras apziņas periodi, kas mijas ar uzbudinājuma jeb ažitāciju, apjukumu un autonomās disfunkcijas pazīmēm.</w:t>
      </w:r>
    </w:p>
    <w:p w14:paraId="02055F49"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Gadījumā, ja nav ticamu datu par kontaktu ar slimu dzīvnieku vai nevēro tipiskos simptomus, diagnozes uzstādīšana varētu būt apgrūtināta. Atsevišķiem pacientiem novēro atipisku trakumsērgu, kas izpaužās kā, piemēram,</w:t>
      </w:r>
      <w:r w:rsidRPr="0021328C">
        <w:rPr>
          <w:i/>
          <w:iCs/>
          <w:sz w:val="18"/>
          <w:szCs w:val="18"/>
          <w:u w:color="000000"/>
          <w:lang w:val="es-ES"/>
          <w14:textOutline w14:w="12700" w14:cap="flat" w14:cmpd="sng" w14:algn="ctr">
            <w14:noFill/>
            <w14:prstDash w14:val="solid"/>
            <w14:miter w14:lim="400000"/>
          </w14:textOutline>
        </w:rPr>
        <w:t xml:space="preserve"> Guillain - Barre</w:t>
      </w:r>
      <w:r w:rsidRPr="0021328C">
        <w:rPr>
          <w:sz w:val="18"/>
          <w:szCs w:val="18"/>
          <w:u w:color="000000"/>
          <w:lang w:val="es-ES"/>
          <w14:textOutline w14:w="12700" w14:cap="flat" w14:cmpd="sng" w14:algn="ctr">
            <w14:noFill/>
            <w14:prstDash w14:val="solid"/>
            <w14:miter w14:lim="400000"/>
          </w14:textOutline>
        </w:rPr>
        <w:t xml:space="preserve"> līdzīgs sindroms. Šādos atipiskos vai neskaidros gadījumos noderīga ir magnētiskās rezonanses izmeklējuma veikšana. Smadzeņu datortomogrāfijai nav diagnostiskas nozīmes.</w:t>
      </w:r>
    </w:p>
    <w:p w14:paraId="232515D7"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Trakumsērgas atipiskas norises dēļ, par to jāaizdomājas un jāizslēdz gadījumos, ja pacientam klīniski ir akūts, progresējošs vīrusu encefalīts (arī tad, ja pacients dzīvo vai ir ceļojis uz reģionu, kur vīruss nav izplatīts). Tā kā trakumsērga var izplatīties arī ar transplantētajiem orgāniem, visiem orgānu donoriem, kuriem ir encefalīta pazīmes, ir jāveic trakumsērgas laboratorā diagnostika.</w:t>
      </w:r>
    </w:p>
    <w:p w14:paraId="60C393ED"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Pirms paraugu ņemšanas no dzīva vai miruša cilvēka un dzīvnieka</w:t>
      </w:r>
    </w:p>
    <w:p w14:paraId="4A0ECC21"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Pirms paraugu ņemšanas un sūtīšanas to izmeklēšanai uz laboratorijām, var sazināties ar Slimību profilakses un kontroles centru, Pārtikas drošības, dzīvnieku veselības un vides zinātnisko institūru BIOR vai Nacionālo mikrobioloģijas references laboratoriju Latvijas infektoloģijas centrā, lai katrā konkrētajā klīniskajā gadījumā vienotos par mērķtiecīgu bioloģisko paraugu ņemšanu, to uzglabāšanas un transportēšanas nosacījumiem, kā arī konsultētos par piesardzības pasākumiem paraugu ņemšanas, uzglabāšanas un transportēšanas laikā. </w:t>
      </w:r>
    </w:p>
    <w:p w14:paraId="34B9F072"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Paraugu ņemšana no dzīva cilvēka</w:t>
      </w:r>
    </w:p>
    <w:p w14:paraId="5C4A12D0"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Inkubācijas periodā, kad vēl nenovēro klīniskās pazīmes, laboratorisko diagnozi, izmeklējot cilvēka vai dzīvnieka audus, nav iespējams uzstādīt, jo vīrusa koncentrācija ir pārāk zema, tajā brīdī ir neskaidra izmeklējamo mērķaudu lokalizācija un nav konstatējama imūnreakcija.  </w:t>
      </w:r>
    </w:p>
    <w:p w14:paraId="20C0A7C1"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Sekrēti, bioloģiskie šķidrumi (siekalas, CSŠ, asaras, asins serums) un atsevišķi audi (ādas biopsija) var tikt izmantoti, lai identificētu trakumsērgas vīrusu. Visaugstākā diagnostiskā jutība ir vismaz trīs siekalu paraugiem (jo vīrusa izdalīšanās intensitāte ir periodiski mainīga), kas ņemti ar laika intervālu no 3 līdz 6 stundām, kā arī ādas biopsijas paraugiem (iekļaujot matu folikulus). Iesaka siekalu paraugus testēt vienā laikā ar nuhālās ādas biopsijas paraugiem. Šāda paraugu ņemšanas stratēģija samazina nepieciešamību pēc tik invazīvām procedūrām kā smadzeņu audu biopsija. </w:t>
      </w:r>
    </w:p>
    <w:p w14:paraId="19F06A10"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Paraugu ņemšana:</w:t>
      </w:r>
    </w:p>
    <w:p w14:paraId="37219E36" w14:textId="77777777" w:rsidR="00137DF8" w:rsidRPr="0021328C" w:rsidRDefault="0024621C" w:rsidP="00071879">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paraugu ņemšanas laikā iesaka izmantot standarta piesardzības pasākumus,</w:t>
      </w:r>
      <w:r w:rsidRPr="0021328C">
        <w:rPr>
          <w:sz w:val="18"/>
          <w:szCs w:val="18"/>
          <w:u w:color="000000"/>
          <w:lang w:val="es-ES"/>
          <w14:textOutline w14:w="12700" w14:cap="flat" w14:cmpd="sng" w14:algn="ctr">
            <w14:noFill/>
            <w14:prstDash w14:val="solid"/>
            <w14:miter w14:lim="400000"/>
          </w14:textOutline>
        </w:rPr>
        <w:br/>
        <w:t>- siekalas: izmantojot sterilu acu pilienu pipeti, savāc siekalas un ievieto mazā, sterilā konteinerī, ko var cieši noslēgt. Nav nepieciešams pievienot konservantus vai citas papildus vielas,</w:t>
      </w:r>
      <w:r w:rsidRPr="0021328C">
        <w:rPr>
          <w:sz w:val="18"/>
          <w:szCs w:val="18"/>
          <w:u w:color="000000"/>
          <w:lang w:val="es-ES"/>
          <w14:textOutline w14:w="12700" w14:cap="flat" w14:cmpd="sng" w14:algn="ctr">
            <w14:noFill/>
            <w14:prstDash w14:val="solid"/>
            <w14:miter w14:lim="400000"/>
          </w14:textOutline>
        </w:rPr>
        <w:br/>
        <w:t>- nuhālās ādas biopsija: 5 - 6 mm diametra liela ādas biopsija no kakla aizmugurējās daļas, pēc iespējas tuvāk matu augšanas līnijai. Biopsijas materiālā jābūt vismaz 10 matu folikuliem, kā arī biopsijas materiālam jābūt paņemtam pietiekami dziļi, lai tā iekļautu ādas nervus matu folikulu pamatnē. Biopsijas materiālu ievieto noslēgtā traukā uz sterilā ūdenī samitrinātas sterilas marles gabala. Nav nepieciešams pievienot konservantus vai citas papildus vielas,</w:t>
      </w:r>
      <w:r w:rsidRPr="0021328C">
        <w:rPr>
          <w:sz w:val="18"/>
          <w:szCs w:val="18"/>
          <w:u w:color="000000"/>
          <w:lang w:val="es-ES"/>
          <w14:textOutline w14:w="12700" w14:cap="flat" w14:cmpd="sng" w14:algn="ctr">
            <w14:noFill/>
            <w14:prstDash w14:val="solid"/>
            <w14:miter w14:lim="400000"/>
          </w14:textOutline>
        </w:rPr>
        <w:br/>
        <w:t>- asins serums un cerebrospinālais šķidrums (CSŠ): nepieciešami vismaz 0,5 ml asins seruma vai CSŠ; nav nepieciešams pievienot konservantus vai citas papildus vielas,</w:t>
      </w:r>
      <w:r w:rsidRPr="0021328C">
        <w:rPr>
          <w:sz w:val="18"/>
          <w:szCs w:val="18"/>
          <w:u w:color="000000"/>
          <w:lang w:val="es-ES"/>
          <w14:textOutline w14:w="12700" w14:cap="flat" w14:cmpd="sng" w14:algn="ctr">
            <w14:noFill/>
            <w14:prstDash w14:val="solid"/>
            <w14:miter w14:lim="400000"/>
          </w14:textOutline>
        </w:rPr>
        <w:br/>
      </w:r>
      <w:r w:rsidRPr="0021328C">
        <w:rPr>
          <w:sz w:val="18"/>
          <w:szCs w:val="18"/>
          <w:u w:color="000000"/>
          <w:lang w:val="es-ES"/>
          <w14:textOutline w14:w="12700" w14:cap="flat" w14:cmpd="sng" w14:algn="ctr">
            <w14:noFill/>
            <w14:prstDash w14:val="solid"/>
            <w14:miter w14:lim="400000"/>
          </w14:textOutline>
        </w:rPr>
        <w:lastRenderedPageBreak/>
        <w:t>- smadzeņu biopsija: ja tiek ņemts smadzeņu paraugs citu iemeslu dēļ, tad to ievieto sterilā noslēgtā traukā; nav nepieciešams pievienot konservantus vai citas papildus vielas.</w:t>
      </w:r>
    </w:p>
    <w:p w14:paraId="1FBF5283" w14:textId="77777777" w:rsidR="00137DF8" w:rsidRPr="0021328C" w:rsidRDefault="0024621C" w:rsidP="00071879">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Ideālā gadījumā, paraugi jāuzglabā - 20°C vai zemākā temperatūrā. CSŠ un asins serumā antivielu noteikšanai ir ļoti limitējoša nozīme, slimības ātrās attīstības gaitas dēļ, taču pozitīvs rezultāts ir indikatīvs (iesaka paraugus ņemt sērijveidā).</w:t>
      </w:r>
    </w:p>
    <w:p w14:paraId="09CD3DB7"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Paraugu ņemšana no miruša cilvēka vai dzīvnieka</w:t>
      </w:r>
    </w:p>
    <w:p w14:paraId="21C54BF5"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Priekšroka dodama smadzeņu audu paraugiem gan no cilvēkiem, gan no dzīvniekiem. Atsevišķos gadījumos var nebūt iespējas iegūt smadzeņu audus (pacienta ģimene nepiekrīt smadzeņu izņemšanai vai arī nav iespējama dzīvnieku smadzeņu izņemšana bioloģisko drošības apsvērumu dēļ). Šādos gadījumos apsverams pielietot mazinvazīvu audu iegūšanas metodi, piemēram, audu biopsijas paņemšana pēc nāves caur orbītas kaulu vai </w:t>
      </w:r>
      <w:r w:rsidRPr="0021328C">
        <w:rPr>
          <w:i/>
          <w:iCs/>
          <w:sz w:val="18"/>
          <w:szCs w:val="18"/>
          <w:u w:color="000000"/>
          <w:lang w:val="es-ES"/>
          <w14:textOutline w14:w="12700" w14:cap="flat" w14:cmpd="sng" w14:algn="ctr">
            <w14:noFill/>
            <w14:prstDash w14:val="solid"/>
            <w14:miter w14:lim="400000"/>
          </w14:textOutline>
        </w:rPr>
        <w:t>foramen magnum</w:t>
      </w:r>
      <w:r w:rsidRPr="0021328C">
        <w:rPr>
          <w:sz w:val="18"/>
          <w:szCs w:val="18"/>
          <w:u w:color="000000"/>
          <w:lang w:val="es-ES"/>
          <w14:textOutline w14:w="12700" w14:cap="flat" w14:cmpd="sng" w14:algn="ctr">
            <w14:noFill/>
            <w14:prstDash w14:val="solid"/>
            <w14:miter w14:lim="400000"/>
          </w14:textOutline>
        </w:rPr>
        <w:t xml:space="preserve">. Iespējama parauga paņemšana bez galvaskausa atvēršanas ar plastmasas pipeti caur </w:t>
      </w:r>
      <w:r w:rsidRPr="0021328C">
        <w:rPr>
          <w:i/>
          <w:iCs/>
          <w:sz w:val="18"/>
          <w:szCs w:val="18"/>
          <w:u w:color="000000"/>
          <w:lang w:val="es-ES"/>
          <w14:textOutline w14:w="12700" w14:cap="flat" w14:cmpd="sng" w14:algn="ctr">
            <w14:noFill/>
            <w14:prstDash w14:val="solid"/>
            <w14:miter w14:lim="400000"/>
          </w14:textOutline>
        </w:rPr>
        <w:t>foramen occipitale</w:t>
      </w:r>
      <w:r w:rsidRPr="0021328C">
        <w:rPr>
          <w:sz w:val="18"/>
          <w:szCs w:val="18"/>
          <w:u w:color="000000"/>
          <w:lang w:val="es-ES"/>
          <w14:textOutline w14:w="12700" w14:cap="flat" w14:cmpd="sng" w14:algn="ctr">
            <w14:noFill/>
            <w14:prstDash w14:val="solid"/>
            <w14:miter w14:lim="400000"/>
          </w14:textOutline>
        </w:rPr>
        <w:t xml:space="preserve"> vai troakāru un plastmasas pipeti caur acs dobuma mugurējo sienu. Paraugus iespējams savākt no smadzenītēm, hipokampa, smadzeņu garozas un iegarenajām smadzenēm.</w:t>
      </w:r>
    </w:p>
    <w:p w14:paraId="28FFAB81"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Ideālā gadījumā smadzeņu audu paraugs jāuzglabā aukstumā vai sasaldēts līdz testēšanas brīdim. Ja tas nav iespējams, tad audu paraugi jāuzglabā 50% glicerīna-sāļu šķīdumā (tam jābūt apkārtējās vides temperatūrā). Paraugu sasaldēšana glicerīnā nav rekomendēta. Pirms paraugu testēšanas, glicerīns ir jānoskalo.</w:t>
      </w:r>
    </w:p>
    <w:p w14:paraId="736341DC"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Fiksētu paraugu izmeklēšana vīrusu antigēnu noteikšanai ir jutīga un specifiska, ja analīzei tiek izmantoti atbilstoši audi un testēšanas metodes, bet diagnostikai audu analīzi rutīnā nerekomendē. Pirms audu transportēšanas jāpārliecinās, ka veikta efektīva vīrusa inaktivācija.  </w:t>
      </w:r>
    </w:p>
    <w:p w14:paraId="41E2987F"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Veicot paraugu ņemšanu, no piesardzības pasākumiem rekomendē:</w:t>
      </w:r>
    </w:p>
    <w:p w14:paraId="2D01187B" w14:textId="77777777" w:rsidR="00137DF8" w:rsidRPr="0021328C" w:rsidRDefault="0024621C" w:rsidP="00071879">
      <w:pPr>
        <w:pStyle w:val="Default"/>
        <w:spacing w:after="160" w:line="288" w:lineRule="auto"/>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lietot individuālos aizsardzības līdzekļus, ieskaitot N95 vai augstākas klases respiratoru, sejas aizsargu vai vizieri, aizsargbrilles, cimdus un ūdensnecaurlaidīgos vienreizlietojamos halātus/apģērbu,</w:t>
      </w:r>
      <w:r w:rsidRPr="0021328C">
        <w:rPr>
          <w:sz w:val="18"/>
          <w:szCs w:val="18"/>
          <w:u w:color="000000"/>
          <w:lang w:val="es-ES"/>
          <w14:textOutline w14:w="12700" w14:cap="flat" w14:cmpd="sng" w14:algn="ctr">
            <w14:noFill/>
            <w14:prstDash w14:val="solid"/>
            <w14:miter w14:lim="400000"/>
          </w14:textOutline>
        </w:rPr>
        <w:br/>
        <w:t>- lietot griezumu rezistentus cimdus, lai pasargātu roku ādu no autopsijas instrumentu asajiem galiem vai kaulu fragmentiem,</w:t>
      </w:r>
      <w:r w:rsidRPr="0021328C">
        <w:rPr>
          <w:sz w:val="18"/>
          <w:szCs w:val="18"/>
          <w:u w:color="000000"/>
          <w:lang w:val="es-ES"/>
          <w14:textOutline w14:w="12700" w14:cap="flat" w14:cmpd="sng" w14:algn="ctr">
            <w14:noFill/>
            <w14:prstDash w14:val="solid"/>
            <w14:miter w14:lim="400000"/>
          </w14:textOutline>
        </w:rPr>
        <w:br/>
        <w:t xml:space="preserve">- minimizēt aerosolu veidošanos, izmantojot rokas zāģi, nevis oscilējošo zāģi, un izvairoties no zāģa asmeņu saskaršanos ar smadzeņu audiem, kad tiek zāģēts galvaskauss, </w:t>
      </w:r>
      <w:r w:rsidRPr="0021328C">
        <w:rPr>
          <w:sz w:val="18"/>
          <w:szCs w:val="18"/>
          <w:u w:color="000000"/>
          <w:lang w:val="es-ES"/>
          <w14:textOutline w14:w="12700" w14:cap="flat" w14:cmpd="sng" w14:algn="ctr">
            <w14:noFill/>
            <w14:prstDash w14:val="solid"/>
            <w14:miter w14:lim="400000"/>
          </w14:textOutline>
        </w:rPr>
        <w:br/>
        <w:t>- personāls, kurš piedalās autopsijā, jāsamazina līdz minimumam, telpā paliekot tikai tiem, kuri tieši iesaistīti autopsijas veikšanā,</w:t>
      </w:r>
      <w:r w:rsidRPr="0021328C">
        <w:rPr>
          <w:sz w:val="18"/>
          <w:szCs w:val="18"/>
          <w:u w:color="000000"/>
          <w:lang w:val="es-ES"/>
          <w14:textOutline w14:w="12700" w14:cap="flat" w14:cmpd="sng" w14:algn="ctr">
            <w14:noFill/>
            <w14:prstDash w14:val="solid"/>
            <w14:miter w14:lim="400000"/>
          </w14:textOutline>
        </w:rPr>
        <w:br/>
        <w:t>- personālam, kuri veic šāda veida autopsijas, nav jābūt veiktai pirmsekpozīcijas profilaksei; pēcekspozīcijas profilakse veicama, ja autopsijas veikšanas laikā ir notikusi neintaktas ādas vai gļotādu kontaminācija ar pacienta siekalām vai citiem potenciāli infekcioziem audiem (nervaudiem utt.),</w:t>
      </w:r>
      <w:r w:rsidRPr="0021328C">
        <w:rPr>
          <w:sz w:val="18"/>
          <w:szCs w:val="18"/>
          <w:u w:color="000000"/>
          <w:lang w:val="es-ES"/>
          <w14:textOutline w14:w="12700" w14:cap="flat" w14:cmpd="sng" w14:algn="ctr">
            <w14:noFill/>
            <w14:prstDash w14:val="solid"/>
            <w14:miter w14:lim="400000"/>
          </w14:textOutline>
        </w:rPr>
        <w:br/>
        <w:t xml:space="preserve">- lietot 10% hlora šķīdumu procedūras laikā un pēc tās, lai nodrošinātu visu virsmu un aprīkojuma dekontamināciju. </w:t>
      </w:r>
    </w:p>
    <w:p w14:paraId="1E14E015" w14:textId="77777777" w:rsidR="00137DF8" w:rsidRPr="0021328C" w:rsidRDefault="0024621C">
      <w:pPr>
        <w:pStyle w:val="Default"/>
        <w:spacing w:after="160" w:line="288" w:lineRule="auto"/>
        <w:jc w:val="both"/>
        <w:outlineLvl w:val="0"/>
        <w:rPr>
          <w:rFonts w:ascii="Graphik Semibold" w:eastAsia="Graphik Semibold" w:hAnsi="Graphik Semibold" w:cs="Graphik Semibold"/>
          <w:color w:val="FF1900"/>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Paraugu transportēšana</w:t>
      </w:r>
    </w:p>
    <w:p w14:paraId="21E53E5A"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Paraugiem jābūt sasaldētiem vai arī tie jāuzglabā ledusskapī, atkarībā no parauga veida. Pēc parauga paņemšanas jānodrošina nepārtraukta “aukstuma ķēde”. Paraugu transportēšanu jāveic atbilstoši vietējām un starptautiskām regulām. </w:t>
      </w:r>
    </w:p>
    <w:p w14:paraId="7295C96D"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Laboratoriskās metodes diagnozes apstiprināšanai no miruša cilvēka vai dzīvnieka audiem</w:t>
      </w:r>
    </w:p>
    <w:p w14:paraId="775D466B"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Kā iepriekš minēts, drošticama trakumsērgas diagnoze iespējama, ja tā ir laboratoriski apstiprināta. Metodes, ko izmanto trakumsērgas diagnozes apstiprināšanai mirušiem cilvēkiem vai dzīvniekiem, ir:</w:t>
      </w:r>
      <w:r w:rsidRPr="0021328C">
        <w:rPr>
          <w:sz w:val="18"/>
          <w:szCs w:val="18"/>
          <w:u w:color="000000"/>
          <w:lang w:val="es-ES"/>
          <w14:textOutline w14:w="12700" w14:cap="flat" w14:cmpd="sng" w14:algn="ctr">
            <w14:noFill/>
            <w14:prstDash w14:val="solid"/>
            <w14:miter w14:lim="400000"/>
          </w14:textOutline>
        </w:rPr>
        <w:br/>
        <w:t>- vīrusa antigēna identificēšana: DFAT (</w:t>
      </w:r>
      <w:r w:rsidRPr="0021328C">
        <w:rPr>
          <w:i/>
          <w:iCs/>
          <w:sz w:val="18"/>
          <w:szCs w:val="18"/>
          <w:u w:color="000000"/>
          <w:lang w:val="es-ES"/>
          <w14:textOutline w14:w="12700" w14:cap="flat" w14:cmpd="sng" w14:algn="ctr">
            <w14:noFill/>
            <w14:prstDash w14:val="solid"/>
            <w14:miter w14:lim="400000"/>
          </w14:textOutline>
        </w:rPr>
        <w:t>direct</w:t>
      </w:r>
      <w:r w:rsidRPr="0021328C">
        <w:rPr>
          <w:sz w:val="18"/>
          <w:szCs w:val="18"/>
          <w:u w:color="000000"/>
          <w:lang w:val="es-ES"/>
          <w14:textOutline w14:w="12700" w14:cap="flat" w14:cmpd="sng" w14:algn="ctr">
            <w14:noFill/>
            <w14:prstDash w14:val="solid"/>
            <w14:miter w14:lim="400000"/>
          </w14:textOutline>
        </w:rPr>
        <w:t xml:space="preserve"> </w:t>
      </w:r>
      <w:r w:rsidRPr="0021328C">
        <w:rPr>
          <w:i/>
          <w:iCs/>
          <w:sz w:val="18"/>
          <w:szCs w:val="18"/>
          <w:u w:color="000000"/>
          <w:lang w:val="es-ES"/>
          <w14:textOutline w14:w="12700" w14:cap="flat" w14:cmpd="sng" w14:algn="ctr">
            <w14:noFill/>
            <w14:prstDash w14:val="solid"/>
            <w14:miter w14:lim="400000"/>
          </w14:textOutline>
        </w:rPr>
        <w:t>fluorescent antibody test</w:t>
      </w:r>
      <w:r w:rsidRPr="0021328C">
        <w:rPr>
          <w:sz w:val="18"/>
          <w:szCs w:val="18"/>
          <w:u w:color="000000"/>
          <w:lang w:val="es-ES"/>
          <w14:textOutline w14:w="12700" w14:cap="flat" w14:cmpd="sng" w14:algn="ctr">
            <w14:noFill/>
            <w14:prstDash w14:val="solid"/>
            <w14:miter w14:lim="400000"/>
          </w14:textOutline>
        </w:rPr>
        <w:t>) ir ātra, sensitīva, specifiska metode trakumsērgas diagnosticēšanai un tiek uzskatīta par “zelta standartu”. Pie citām metodēm vīrusa antigēna identificēšanai uzskatāmas ELISA (</w:t>
      </w:r>
      <w:r w:rsidRPr="0021328C">
        <w:rPr>
          <w:i/>
          <w:iCs/>
          <w:sz w:val="18"/>
          <w:szCs w:val="18"/>
          <w:u w:color="000000"/>
          <w:lang w:val="es-ES"/>
          <w14:textOutline w14:w="12700" w14:cap="flat" w14:cmpd="sng" w14:algn="ctr">
            <w14:noFill/>
            <w14:prstDash w14:val="solid"/>
            <w14:miter w14:lim="400000"/>
          </w14:textOutline>
        </w:rPr>
        <w:t>enzyme-linked immunosorbent assay</w:t>
      </w:r>
      <w:r w:rsidRPr="0021328C">
        <w:rPr>
          <w:sz w:val="18"/>
          <w:szCs w:val="18"/>
          <w:u w:color="000000"/>
          <w:lang w:val="es-ES"/>
          <w14:textOutline w14:w="12700" w14:cap="flat" w14:cmpd="sng" w14:algn="ctr">
            <w14:noFill/>
            <w14:prstDash w14:val="solid"/>
            <w14:miter w14:lim="400000"/>
          </w14:textOutline>
        </w:rPr>
        <w:t>) un DRIT (</w:t>
      </w:r>
      <w:r w:rsidRPr="0021328C">
        <w:rPr>
          <w:i/>
          <w:iCs/>
          <w:sz w:val="18"/>
          <w:szCs w:val="18"/>
          <w:u w:color="000000"/>
          <w:lang w:val="es-ES"/>
          <w14:textOutline w14:w="12700" w14:cap="flat" w14:cmpd="sng" w14:algn="ctr">
            <w14:noFill/>
            <w14:prstDash w14:val="solid"/>
            <w14:miter w14:lim="400000"/>
          </w14:textOutline>
        </w:rPr>
        <w:t>direct rapid immunohistochemistry test</w:t>
      </w:r>
      <w:r w:rsidRPr="0021328C">
        <w:rPr>
          <w:sz w:val="18"/>
          <w:szCs w:val="18"/>
          <w:u w:color="000000"/>
          <w:lang w:val="es-ES"/>
          <w14:textOutline w14:w="12700" w14:cap="flat" w14:cmpd="sng" w14:algn="ctr">
            <w14:noFill/>
            <w14:prstDash w14:val="solid"/>
            <w14:miter w14:lim="400000"/>
          </w14:textOutline>
        </w:rPr>
        <w:t>), ko Latvijā nelieto,</w:t>
      </w:r>
      <w:r w:rsidRPr="0021328C">
        <w:rPr>
          <w:sz w:val="18"/>
          <w:szCs w:val="18"/>
          <w:u w:color="000000"/>
          <w:lang w:val="es-ES"/>
          <w14:textOutline w14:w="12700" w14:cap="flat" w14:cmpd="sng" w14:algn="ctr">
            <w14:noFill/>
            <w14:prstDash w14:val="solid"/>
            <w14:miter w14:lim="400000"/>
          </w14:textOutline>
        </w:rPr>
        <w:br/>
        <w:t>- vīrusa RNS identificēšana ar RT-PCR (</w:t>
      </w:r>
      <w:r w:rsidRPr="0021328C">
        <w:rPr>
          <w:i/>
          <w:iCs/>
          <w:sz w:val="18"/>
          <w:szCs w:val="18"/>
          <w:u w:color="000000"/>
          <w:lang w:val="es-ES"/>
          <w14:textOutline w14:w="12700" w14:cap="flat" w14:cmpd="sng" w14:algn="ctr">
            <w14:noFill/>
            <w14:prstDash w14:val="solid"/>
            <w14:miter w14:lim="400000"/>
          </w14:textOutline>
        </w:rPr>
        <w:t>reverse transcriptase-polymerase chain reaction</w:t>
      </w:r>
      <w:r w:rsidRPr="0021328C">
        <w:rPr>
          <w:sz w:val="18"/>
          <w:szCs w:val="18"/>
          <w:u w:color="000000"/>
          <w:lang w:val="es-ES"/>
          <w14:textOutline w14:w="12700" w14:cap="flat" w14:cmpd="sng" w14:algn="ctr">
            <w14:noFill/>
            <w14:prstDash w14:val="solid"/>
            <w14:miter w14:lim="400000"/>
          </w14:textOutline>
        </w:rPr>
        <w:t>): šobrīd molekulārās bioloģijas joma ir strauji attīstījusies un ir pieejami vairāki uzticami reālā laika un konvencionālie RT-PCR protokoli. Molekulārās izmeklēšanas metodēm piemīt augsta jutība un specifiskums un tās  var tikt izmantotas ātrai diagnozes apstiprināšanai un šobrīd, līdzīgi kā DFAT, tiek uzskatītas par primārajām diagnostikas metodēm,</w:t>
      </w:r>
      <w:r w:rsidRPr="0021328C">
        <w:rPr>
          <w:sz w:val="18"/>
          <w:szCs w:val="18"/>
          <w:u w:color="000000"/>
          <w:lang w:val="es-ES"/>
          <w14:textOutline w14:w="12700" w14:cap="flat" w14:cmpd="sng" w14:algn="ctr">
            <w14:noFill/>
            <w14:prstDash w14:val="solid"/>
            <w14:miter w14:lim="400000"/>
          </w14:textOutline>
        </w:rPr>
        <w:br/>
        <w:t xml:space="preserve">- vīrusa izdalīšana šūnu kultūrās vai laboratorijas dzīvniekos: izmanto vīrusu izdalīšanai un identificēšanai, lai apstiprinātu vīrusa antigēna noteikšanas testus vai, ja, izmeklējot ar PCR, iegūst nepārliecinošus rezultātus, kā arī, lai veiktu vīrusa vairošanu un iegūtu nepieciešamo savairotā vīrusa daudzumu tā raksturošanai. Izdalīšanu veic neiroblastomas šūnu kultūrās. Ja laboratorijā nav pieejamas šūnu kultūras, var veikt vīrusa inokulāciju peļu mazuļos. Kad vien iespējams, dzīvnieku vietā vīrusa </w:t>
      </w:r>
      <w:r w:rsidRPr="0021328C">
        <w:rPr>
          <w:sz w:val="18"/>
          <w:szCs w:val="18"/>
          <w:u w:color="000000"/>
          <w:lang w:val="es-ES"/>
          <w14:textOutline w14:w="12700" w14:cap="flat" w14:cmpd="sng" w14:algn="ctr">
            <w14:noFill/>
            <w14:prstDash w14:val="solid"/>
            <w14:miter w14:lim="400000"/>
          </w14:textOutline>
        </w:rPr>
        <w:lastRenderedPageBreak/>
        <w:t>vairošanai jāizmanto šūnu kultūras,</w:t>
      </w:r>
      <w:r w:rsidRPr="0021328C">
        <w:rPr>
          <w:sz w:val="18"/>
          <w:szCs w:val="18"/>
          <w:u w:color="000000"/>
          <w:lang w:val="es-ES"/>
          <w14:textOutline w14:w="12700" w14:cap="flat" w14:cmpd="sng" w14:algn="ctr">
            <w14:noFill/>
            <w14:prstDash w14:val="solid"/>
            <w14:miter w14:lim="400000"/>
          </w14:textOutline>
        </w:rPr>
        <w:br/>
        <w:t>- vīrusa izdalīšana neiroblastomas šūnu kultūrās: saīsina laiku līdz diagnozes apstiprināšanai. Ja peles inokulācijas tests aizņem 10 - 21 dienu, tad izdalīšana šūnu kultūrās tikai 4 - 8 dienas (NRL izmantotais protokols ar 2 vīrusa pasāžām). Ja nav pieejamas molekulārās izmeklēšanas metodes, vai nav iespējama izdalīšana šūnu kultūrā, tad izmanto inokulāciju laboratorijas dzīvniekos. Ja nepieciešama ātra rezultātu iegūšana, inokulācija jāveic peļu mazuļos, jo tie ir uzņēmīgāki pret infekciju nekā pieaugušas peles.</w:t>
      </w:r>
    </w:p>
    <w:p w14:paraId="50635F65"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Jāatcerās, ka pēc nāves izmeklēto audu pozitīviem testiem ir dignostiska nozīme, bet negatīvi rezultāti neizslēdz trakumsērgas diagnozi.</w:t>
      </w:r>
    </w:p>
    <w:p w14:paraId="0F4F8E85"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Laboratoriskās metodes diagnozes apstiprināšanai cilvēkam dzīves laikā</w:t>
      </w:r>
    </w:p>
    <w:p w14:paraId="7A1B3C36"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Trakumsērgas vīrusa klātbūtne klīniskājā materiālā nereti var tikt konstatēta tikai slimības vēlākā vai beigu stadijā. Jēdziens “nēsātājs” (subklīniska infekcija) trakumsērgas gadījumā neeksistē. Laboratoriskās diagnostikas rezultāti ir atkarīgi no slimības formas un ilguma, imunoloģiskā statusa, vīrusa izdalīšanās periodiskuma, paraugu kvalitātes un personāla, kas realizē testa veikšanu, iemaņām un prasmes. </w:t>
      </w:r>
    </w:p>
    <w:p w14:paraId="01E1D0CB"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Tāpat kā ar laboratoriskajām metodēm paraugu izmeklēšanai, ko veic pēc dzīvnieka vai cilvēka nāves, arī dzīvam cilvēkam pozitīvs testa rezultāts liecina par trakumsērgu, bet negatīvs - trakumsērgas diagnozi neizslēdz. Metodes, ko izmanto trakumsērgas diagnozes apstiprināšanai dzīviem cilvēkiem, ir:</w:t>
      </w:r>
      <w:r w:rsidRPr="0021328C">
        <w:rPr>
          <w:sz w:val="18"/>
          <w:szCs w:val="18"/>
          <w:u w:color="000000"/>
          <w:lang w:val="es-ES"/>
          <w14:textOutline w14:w="12700" w14:cap="flat" w14:cmpd="sng" w14:algn="ctr">
            <w14:noFill/>
            <w14:prstDash w14:val="solid"/>
            <w14:miter w14:lim="400000"/>
          </w14:textOutline>
        </w:rPr>
        <w:br/>
        <w:t>- vīrusa antigēna identificēšana: tiek izmantota DFAT (</w:t>
      </w:r>
      <w:r w:rsidRPr="0021328C">
        <w:rPr>
          <w:i/>
          <w:iCs/>
          <w:sz w:val="18"/>
          <w:szCs w:val="18"/>
          <w:u w:color="000000"/>
          <w:lang w:val="es-ES"/>
          <w14:textOutline w14:w="12700" w14:cap="flat" w14:cmpd="sng" w14:algn="ctr">
            <w14:noFill/>
            <w14:prstDash w14:val="solid"/>
            <w14:miter w14:lim="400000"/>
          </w14:textOutline>
        </w:rPr>
        <w:t>direct fluorescent antibody test</w:t>
      </w:r>
      <w:r w:rsidRPr="0021328C">
        <w:rPr>
          <w:sz w:val="18"/>
          <w:szCs w:val="18"/>
          <w:u w:color="000000"/>
          <w:lang w:val="es-ES"/>
          <w14:textOutline w14:w="12700" w14:cap="flat" w14:cmpd="sng" w14:algn="ctr">
            <w14:noFill/>
            <w14:prstDash w14:val="solid"/>
            <w14:miter w14:lim="400000"/>
          </w14:textOutline>
        </w:rPr>
        <w:t>) ādas biopsijas paraugā ar matu folikuliem un perifēro nervu galiem (matu folikulu neesamība paraugā samazina testa sensitivitāti). Šī testa rezultāti ir neatkarīgi no antivielu daudzuma asinīs, un tas var būt pozitīvs slimības agrīnajās fāzēs. FAT (</w:t>
      </w:r>
      <w:r w:rsidRPr="0021328C">
        <w:rPr>
          <w:i/>
          <w:iCs/>
          <w:sz w:val="18"/>
          <w:szCs w:val="18"/>
          <w:u w:color="000000"/>
          <w:lang w:val="es-ES"/>
          <w14:textOutline w14:w="12700" w14:cap="flat" w14:cmpd="sng" w14:algn="ctr">
            <w14:noFill/>
            <w14:prstDash w14:val="solid"/>
            <w14:miter w14:lim="400000"/>
          </w14:textOutline>
        </w:rPr>
        <w:t>fluorescent antibody test</w:t>
      </w:r>
      <w:r w:rsidRPr="0021328C">
        <w:rPr>
          <w:sz w:val="18"/>
          <w:szCs w:val="18"/>
          <w:u w:color="000000"/>
          <w:lang w:val="es-ES"/>
          <w14:textOutline w14:w="12700" w14:cap="flat" w14:cmpd="sng" w14:algn="ctr">
            <w14:noFill/>
            <w14:prstDash w14:val="solid"/>
            <w14:miter w14:lim="400000"/>
          </w14:textOutline>
        </w:rPr>
        <w:t>) vai radzenes nospiedumi šajā situācijā nav drošticami testi diagnozes apstiprināšanai,</w:t>
      </w:r>
      <w:r w:rsidRPr="0021328C">
        <w:rPr>
          <w:sz w:val="18"/>
          <w:szCs w:val="18"/>
          <w:u w:color="000000"/>
          <w:lang w:val="es-ES"/>
          <w14:textOutline w14:w="12700" w14:cap="flat" w14:cmpd="sng" w14:algn="ctr">
            <w14:noFill/>
            <w14:prstDash w14:val="solid"/>
            <w14:miter w14:lim="400000"/>
          </w14:textOutline>
        </w:rPr>
        <w:br/>
        <w:t>- vīrusa RNS identificēšana: augsti sensitīvas ir molekulārās metodes trakumsērgas diagnostikai, ar kurām var identificēt vīrusa RNS no tādiem bioloģiskajiem šķidrumiem un audiem, kā siekalas, cerebrospinālais šķidrums, asaras, ādas biopsija (ar matu folikuliem) un koncentrēts urīns. Visaugstākā testu sensitivitāte, ja izmeklēšanai izmanto ādas (ar matu folikuliem) biopsiju vai siekalas. Nepieciešama paraugu sēriju izmeklēšana, jo vīrusa izdalīšana ar bioloģiskajiem šķidrumiem notiek intermitējoši,</w:t>
      </w:r>
      <w:r w:rsidRPr="0021328C">
        <w:rPr>
          <w:sz w:val="18"/>
          <w:szCs w:val="18"/>
          <w:u w:color="000000"/>
          <w:lang w:val="es-ES"/>
          <w14:textOutline w14:w="12700" w14:cap="flat" w14:cmpd="sng" w14:algn="ctr">
            <w14:noFill/>
            <w14:prstDash w14:val="solid"/>
            <w14:miter w14:lim="400000"/>
          </w14:textOutline>
        </w:rPr>
        <w:br/>
        <w:t>- vīrusa izdalīšana: vīrusa izdalīšana no bioloģiskajiem šķidrumiem vai audu paraugiem palīdz nekļūdīgi pierādīt diagnozi un pavairot vīrusu tā tālākai raksturošanai. Sekmīga vīrusa izolēšana lielā mērā atkarīga no vīrusa izdalīšanās ar bioloģiskajiem šķidrumiem daudzuma, biežuma, personas imunoloģiskā statusa un vīrusa dzīvotspējas, ko savukārt ietekmē parauga ņemšanas un uzglabāšanas apstākļi. Visveiksmīgāk to iespējams izolēt no cilvēkiem, kuriem vēl nav izveidojušās antivielas pret trakumsērgas vīrusu. Vēlīnajās slimības fāzēs bioloģiskie šķidrumi var vairs nesaturēt vīrusu. Šķidros bioloģiskos paraugus nedrīkst saldēt, uztriepes jāievieto barotnēs,</w:t>
      </w:r>
      <w:r w:rsidRPr="0021328C">
        <w:rPr>
          <w:sz w:val="18"/>
          <w:szCs w:val="18"/>
          <w:u w:color="000000"/>
          <w:lang w:val="es-ES"/>
          <w14:textOutline w14:w="12700" w14:cap="flat" w14:cmpd="sng" w14:algn="ctr">
            <w14:noFill/>
            <w14:prstDash w14:val="solid"/>
            <w14:miter w14:lim="400000"/>
          </w14:textOutline>
        </w:rPr>
        <w:br/>
        <w:t>- vīrusa specifisko antivielu identificēšana: specifiskās antivielas gan serumā, gan cerebrospinālajā šķidrumā parādās slimības vēlīnajās fāzēs. Vīrusa neitralizējošās antivielas serumā vai cerebrospinālajā šķidrumā var noteikt ar RFFIT (</w:t>
      </w:r>
      <w:r w:rsidRPr="0021328C">
        <w:rPr>
          <w:i/>
          <w:iCs/>
          <w:sz w:val="18"/>
          <w:szCs w:val="18"/>
          <w:u w:color="000000"/>
          <w:lang w:val="es-ES"/>
          <w14:textOutline w14:w="12700" w14:cap="flat" w14:cmpd="sng" w14:algn="ctr">
            <w14:noFill/>
            <w14:prstDash w14:val="solid"/>
            <w14:miter w14:lim="400000"/>
          </w14:textOutline>
        </w:rPr>
        <w:t>rapid fluorescent focus inhibition test</w:t>
      </w:r>
      <w:r w:rsidRPr="0021328C">
        <w:rPr>
          <w:sz w:val="18"/>
          <w:szCs w:val="18"/>
          <w:u w:color="000000"/>
          <w:lang w:val="es-ES"/>
          <w14:textOutline w14:w="12700" w14:cap="flat" w14:cmpd="sng" w14:algn="ctr">
            <w14:noFill/>
            <w14:prstDash w14:val="solid"/>
            <w14:miter w14:lim="400000"/>
          </w14:textOutline>
        </w:rPr>
        <w:t>) un FAVN (</w:t>
      </w:r>
      <w:r w:rsidRPr="0021328C">
        <w:rPr>
          <w:i/>
          <w:iCs/>
          <w:sz w:val="18"/>
          <w:szCs w:val="18"/>
          <w:u w:color="000000"/>
          <w:lang w:val="es-ES"/>
          <w14:textOutline w14:w="12700" w14:cap="flat" w14:cmpd="sng" w14:algn="ctr">
            <w14:noFill/>
            <w14:prstDash w14:val="solid"/>
            <w14:miter w14:lim="400000"/>
          </w14:textOutline>
        </w:rPr>
        <w:t>fluorescent antibody virus neutralization</w:t>
      </w:r>
      <w:r w:rsidRPr="0021328C">
        <w:rPr>
          <w:sz w:val="18"/>
          <w:szCs w:val="18"/>
          <w:u w:color="000000"/>
          <w:lang w:val="es-ES"/>
          <w14:textOutline w14:w="12700" w14:cap="flat" w14:cmpd="sng" w14:algn="ctr">
            <w14:noFill/>
            <w14:prstDash w14:val="solid"/>
            <w14:miter w14:lim="400000"/>
          </w14:textOutline>
        </w:rPr>
        <w:t>). Šo metožu sensitivitāte diagnozes pierādīšanai dzīvam cilvēkam ir zema, jo antivielas lielākoties sāk parādīties 7 - 8 dienu laikā pēc pirmo simptomu parādīšanās. ELISA (</w:t>
      </w:r>
      <w:r w:rsidRPr="0021328C">
        <w:rPr>
          <w:i/>
          <w:iCs/>
          <w:sz w:val="18"/>
          <w:szCs w:val="18"/>
          <w:u w:color="000000"/>
          <w:lang w:val="es-ES"/>
          <w14:textOutline w14:w="12700" w14:cap="flat" w14:cmpd="sng" w14:algn="ctr">
            <w14:noFill/>
            <w14:prstDash w14:val="solid"/>
            <w14:miter w14:lim="400000"/>
          </w14:textOutline>
        </w:rPr>
        <w:t>enzyme-linked immunosorbent assay</w:t>
      </w:r>
      <w:r w:rsidRPr="0021328C">
        <w:rPr>
          <w:sz w:val="18"/>
          <w:szCs w:val="18"/>
          <w:u w:color="000000"/>
          <w:lang w:val="es-ES"/>
          <w14:textOutline w14:w="12700" w14:cap="flat" w14:cmpd="sng" w14:algn="ctr">
            <w14:noFill/>
            <w14:prstDash w14:val="solid"/>
            <w14:miter w14:lim="400000"/>
          </w14:textOutline>
        </w:rPr>
        <w:t>) ir izmantojams trakumsērgas IgG noteikšanai, taču IgM antivielas, kas parādās īsi pēc ekspozīcijas, var neidentificēt.</w:t>
      </w:r>
    </w:p>
    <w:p w14:paraId="4F13A1E2"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Antivielu daudzuma noteikšana pēc vakcinācijas cilvēkiem</w:t>
      </w:r>
    </w:p>
    <w:p w14:paraId="3F364667" w14:textId="77777777" w:rsidR="00137DF8" w:rsidRPr="0021328C"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Pēc vakcinācijas imūnās atbildes jeb antivielu daudzuma noteikšanai rekomendē veikt RFFIT vīrusa neitralizācijas, FAVN testu vai ELISA. ELISA atšķiras no RFFIT un FAVN testiem, līdz ar to tas jāņem vērā datu interpretācijas procesā. Šajos vīrusa neitralizācijas testos RFFIT un FAVN nosaka tieši trakumsērgas vīrusu neitralizējošās antivielas, bet ELISA testos nosaka piesaistīties spējīgās antivielas, kas ne vienmēr neitralizē vīrusu, tādēļ ELISA aizsardzības noteikšanas nolūkam neiesaka.</w:t>
      </w:r>
    </w:p>
    <w:p w14:paraId="2037AC18"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es-ES"/>
          <w14:textOutline w14:w="12700" w14:cap="flat" w14:cmpd="sng" w14:algn="ctr">
            <w14:noFill/>
            <w14:prstDash w14:val="solid"/>
            <w14:miter w14:lim="400000"/>
          </w14:textOutline>
        </w:rPr>
      </w:pPr>
      <w:r w:rsidRPr="0021328C">
        <w:rPr>
          <w:rFonts w:ascii="Graphik Semibold" w:hAnsi="Graphik Semibold"/>
          <w:sz w:val="18"/>
          <w:szCs w:val="18"/>
          <w:u w:color="000000"/>
          <w:lang w:val="es-ES"/>
          <w14:textOutline w14:w="12700" w14:cap="flat" w14:cmpd="sng" w14:algn="ctr">
            <w14:noFill/>
            <w14:prstDash w14:val="solid"/>
            <w14:miter w14:lim="400000"/>
          </w14:textOutline>
        </w:rPr>
        <w:t>Antivielu daudzuma noteikšana pēc vakcinācijas dzīvniekiem</w:t>
      </w:r>
    </w:p>
    <w:p w14:paraId="12D1E3EC" w14:textId="77777777" w:rsidR="00137DF8" w:rsidRDefault="0024621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r w:rsidRPr="0021328C">
        <w:rPr>
          <w:sz w:val="18"/>
          <w:szCs w:val="18"/>
          <w:u w:color="000000"/>
          <w:lang w:val="es-ES"/>
          <w14:textOutline w14:w="12700" w14:cap="flat" w14:cmpd="sng" w14:algn="ctr">
            <w14:noFill/>
            <w14:prstDash w14:val="solid"/>
            <w14:miter w14:lim="400000"/>
          </w14:textOutline>
        </w:rPr>
        <w:t xml:space="preserve">Rekomendē veikt RFFIT vīrusa neitralizācijas, FAVN testu vai ELISA (ļauj noskaidrot saistošo antivielu nevis vīrusu neitralizējošo antivielu titru). Trakumsērgas VNAb jānosaka ne ātrāk kā 4 nedēļas pēc vakcinācijas. Antivielu daudzums, kas noteikts agrāk, ir neinformatīvs un maldinošs - antivielu titrs tādā gadījumā ir paaugstināts un neatbilst tam, kāds tas saglabājas līdz nākošajai vakcinācijai. </w:t>
      </w:r>
    </w:p>
    <w:p w14:paraId="1831A1C8" w14:textId="77777777" w:rsidR="00600FAC" w:rsidRDefault="00600FA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p>
    <w:p w14:paraId="132AD54A" w14:textId="77777777" w:rsidR="00600FAC" w:rsidRPr="0021328C" w:rsidRDefault="00600FAC">
      <w:pPr>
        <w:pStyle w:val="Default"/>
        <w:spacing w:after="160" w:line="288" w:lineRule="auto"/>
        <w:jc w:val="both"/>
        <w:outlineLvl w:val="0"/>
        <w:rPr>
          <w:rFonts w:hint="eastAsia"/>
          <w:sz w:val="18"/>
          <w:szCs w:val="18"/>
          <w:u w:color="000000"/>
          <w:lang w:val="es-ES"/>
          <w14:textOutline w14:w="12700" w14:cap="flat" w14:cmpd="sng" w14:algn="ctr">
            <w14:noFill/>
            <w14:prstDash w14:val="solid"/>
            <w14:miter w14:lim="400000"/>
          </w14:textOutline>
        </w:rPr>
      </w:pPr>
    </w:p>
    <w:p w14:paraId="192187FD" w14:textId="77777777" w:rsidR="00137DF8" w:rsidRPr="0021328C" w:rsidRDefault="0024621C">
      <w:pPr>
        <w:pStyle w:val="Default"/>
        <w:spacing w:after="160" w:line="288" w:lineRule="auto"/>
        <w:jc w:val="both"/>
        <w:outlineLvl w:val="0"/>
        <w:rPr>
          <w:rFonts w:hint="eastAsia"/>
          <w:b/>
          <w:bCs/>
          <w:sz w:val="18"/>
          <w:szCs w:val="18"/>
          <w:u w:color="000000"/>
          <w:lang w:val="es-ES"/>
          <w14:textOutline w14:w="12700" w14:cap="flat" w14:cmpd="sng" w14:algn="ctr">
            <w14:noFill/>
            <w14:prstDash w14:val="solid"/>
            <w14:miter w14:lim="400000"/>
          </w14:textOutline>
        </w:rPr>
      </w:pPr>
      <w:r w:rsidRPr="0021328C">
        <w:rPr>
          <w:b/>
          <w:bCs/>
          <w:sz w:val="18"/>
          <w:szCs w:val="18"/>
          <w:u w:color="000000"/>
          <w:lang w:val="es-ES"/>
          <w14:textOutline w14:w="12700" w14:cap="flat" w14:cmpd="sng" w14:algn="ctr">
            <w14:noFill/>
            <w14:prstDash w14:val="solid"/>
            <w14:miter w14:lim="400000"/>
          </w14:textOutline>
        </w:rPr>
        <w:lastRenderedPageBreak/>
        <w:t>Tabula Nr. 6. Standarta diagnostiskie testi trakumsērgas diagnostikai</w:t>
      </w:r>
    </w:p>
    <w:tbl>
      <w:tblPr>
        <w:tblW w:w="972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E8F3"/>
        <w:tblLayout w:type="fixed"/>
        <w:tblLook w:val="04A0" w:firstRow="1" w:lastRow="0" w:firstColumn="1" w:lastColumn="0" w:noHBand="0" w:noVBand="1"/>
      </w:tblPr>
      <w:tblGrid>
        <w:gridCol w:w="1081"/>
        <w:gridCol w:w="1081"/>
        <w:gridCol w:w="1081"/>
        <w:gridCol w:w="1081"/>
        <w:gridCol w:w="1081"/>
        <w:gridCol w:w="1081"/>
        <w:gridCol w:w="1081"/>
        <w:gridCol w:w="1081"/>
        <w:gridCol w:w="1081"/>
      </w:tblGrid>
      <w:tr w:rsidR="00137DF8" w14:paraId="3994F50E" w14:textId="77777777">
        <w:trPr>
          <w:trHeight w:val="329"/>
        </w:trPr>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AB1AE" w14:textId="77777777" w:rsidR="00137DF8" w:rsidRPr="0021328C" w:rsidRDefault="00137DF8">
            <w:pPr>
              <w:rPr>
                <w:lang w:val="es-ES"/>
              </w:rPr>
            </w:pP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F1F9A"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Vīrusu antigēnu identifikācija</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DC240C"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RNS identifikācija</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FB6AD"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Vīrusa izolēšana</w:t>
            </w:r>
          </w:p>
        </w:tc>
        <w:tc>
          <w:tcPr>
            <w:tcW w:w="21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FEE47" w14:textId="77777777" w:rsidR="00137DF8" w:rsidRDefault="0024621C">
            <w:pPr>
              <w:pStyle w:val="Default"/>
              <w:spacing w:after="320"/>
              <w:outlineLvl w:val="0"/>
              <w:rPr>
                <w:rFonts w:hint="eastAsia"/>
              </w:rPr>
            </w:pPr>
            <w:r>
              <w:rPr>
                <w:b/>
                <w:bCs/>
                <w:sz w:val="12"/>
                <w:szCs w:val="12"/>
                <w:u w:color="000000"/>
                <w14:textOutline w14:w="12700" w14:cap="flat" w14:cmpd="sng" w14:algn="ctr">
                  <w14:noFill/>
                  <w14:prstDash w14:val="solid"/>
                  <w14:miter w14:lim="400000"/>
                </w14:textOutline>
              </w:rPr>
              <w:t>Vīrusa specifisko antivielu identifikācija</w:t>
            </w:r>
          </w:p>
        </w:tc>
      </w:tr>
      <w:tr w:rsidR="00137DF8" w14:paraId="4DCA1F49" w14:textId="77777777">
        <w:trPr>
          <w:trHeight w:val="329"/>
        </w:trPr>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9FD11"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Parauga ņemšanas laiks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E4CF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Paraugs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9C819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Testēšanas metode</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255FF8"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Paraugs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F715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Testēšanas metode</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0C75B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Paraugs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DD10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Testēšanas metode</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85BD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Paraugs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9568D"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Testēšanas metode</w:t>
            </w:r>
          </w:p>
        </w:tc>
      </w:tr>
      <w:tr w:rsidR="00137DF8" w14:paraId="608B987D" w14:textId="77777777" w:rsidTr="002D61D6">
        <w:trPr>
          <w:trHeight w:val="990"/>
        </w:trPr>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F18F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Dzīves laikā (cilvēks)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DE00C"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Āda/matu folikuli</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9132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FAT</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0EDD3" w14:textId="77777777" w:rsidR="00137DF8" w:rsidRPr="0021328C" w:rsidRDefault="0024621C">
            <w:pPr>
              <w:pStyle w:val="Default"/>
              <w:spacing w:after="320"/>
              <w:outlineLvl w:val="0"/>
              <w:rPr>
                <w:rFonts w:hint="eastAsia"/>
                <w:lang w:val="es-ES"/>
              </w:rPr>
            </w:pPr>
            <w:r w:rsidRPr="0021328C">
              <w:rPr>
                <w:sz w:val="12"/>
                <w:szCs w:val="12"/>
                <w:u w:color="000000"/>
                <w:lang w:val="es-ES"/>
                <w14:textOutline w14:w="12700" w14:cap="flat" w14:cmpd="sng" w14:algn="ctr">
                  <w14:noFill/>
                  <w14:prstDash w14:val="solid"/>
                  <w14:miter w14:lim="400000"/>
                </w14:textOutline>
              </w:rPr>
              <w:t>Āda/matu folikuli</w:t>
            </w:r>
            <w:r w:rsidRPr="0021328C">
              <w:rPr>
                <w:sz w:val="12"/>
                <w:szCs w:val="12"/>
                <w:u w:color="000000"/>
                <w:lang w:val="es-ES"/>
                <w14:textOutline w14:w="12700" w14:cap="flat" w14:cmpd="sng" w14:algn="ctr">
                  <w14:noFill/>
                  <w14:prstDash w14:val="solid"/>
                  <w14:miter w14:lim="400000"/>
                </w14:textOutline>
              </w:rPr>
              <w:br/>
              <w:t>Siekalas</w:t>
            </w:r>
            <w:r w:rsidRPr="0021328C">
              <w:rPr>
                <w:sz w:val="12"/>
                <w:szCs w:val="12"/>
                <w:u w:color="000000"/>
                <w:lang w:val="es-ES"/>
                <w14:textOutline w14:w="12700" w14:cap="flat" w14:cmpd="sng" w14:algn="ctr">
                  <w14:noFill/>
                  <w14:prstDash w14:val="solid"/>
                  <w14:miter w14:lim="400000"/>
                </w14:textOutline>
              </w:rPr>
              <w:br/>
              <w:t>Asaras</w:t>
            </w:r>
            <w:r w:rsidRPr="0021328C">
              <w:rPr>
                <w:sz w:val="12"/>
                <w:szCs w:val="12"/>
                <w:u w:color="000000"/>
                <w:lang w:val="es-ES"/>
                <w14:textOutline w14:w="12700" w14:cap="flat" w14:cmpd="sng" w14:algn="ctr">
                  <w14:noFill/>
                  <w14:prstDash w14:val="solid"/>
                  <w14:miter w14:lim="400000"/>
                </w14:textOutline>
              </w:rPr>
              <w:br/>
              <w:t>CSŠ</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0A100" w14:textId="77777777" w:rsidR="00137DF8" w:rsidRDefault="0024621C">
            <w:pPr>
              <w:pStyle w:val="Default"/>
              <w:spacing w:after="320"/>
              <w:outlineLvl w:val="0"/>
              <w:rPr>
                <w:rFonts w:hint="eastAsia"/>
              </w:rPr>
            </w:pPr>
            <w:r>
              <w:rPr>
                <w:color w:val="1F9CBE"/>
                <w:sz w:val="12"/>
                <w:szCs w:val="12"/>
                <w:u w:val="single" w:color="1F9CBE"/>
                <w14:textOutline w14:w="12700" w14:cap="flat" w14:cmpd="sng" w14:algn="ctr">
                  <w14:noFill/>
                  <w14:prstDash w14:val="solid"/>
                  <w14:miter w14:lim="400000"/>
                </w14:textOutline>
              </w:rPr>
              <w:t>RT-PCR (veic BIOR)</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D65A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Siekalas</w:t>
            </w:r>
            <w:r>
              <w:rPr>
                <w:sz w:val="12"/>
                <w:szCs w:val="12"/>
                <w:u w:color="000000"/>
                <w14:textOutline w14:w="12700" w14:cap="flat" w14:cmpd="sng" w14:algn="ctr">
                  <w14:noFill/>
                  <w14:prstDash w14:val="solid"/>
                  <w14:miter w14:lim="400000"/>
                </w14:textOutline>
              </w:rPr>
              <w:br/>
              <w:t>Asaras</w:t>
            </w:r>
            <w:r>
              <w:rPr>
                <w:sz w:val="12"/>
                <w:szCs w:val="12"/>
                <w:u w:color="000000"/>
                <w14:textOutline w14:w="12700" w14:cap="flat" w14:cmpd="sng" w14:algn="ctr">
                  <w14:noFill/>
                  <w14:prstDash w14:val="solid"/>
                  <w14:miter w14:lim="400000"/>
                </w14:textOutline>
              </w:rPr>
              <w:br/>
              <w:t>CSŠ</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26E3F"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RTCIT</w:t>
            </w:r>
            <w:r>
              <w:rPr>
                <w:sz w:val="12"/>
                <w:szCs w:val="12"/>
                <w:u w:color="000000"/>
                <w14:textOutline w14:w="12700" w14:cap="flat" w14:cmpd="sng" w14:algn="ctr">
                  <w14:noFill/>
                  <w14:prstDash w14:val="solid"/>
                  <w14:miter w14:lim="400000"/>
                </w14:textOutline>
              </w:rPr>
              <w:br/>
              <w:t>M1</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C3CE9" w14:textId="77777777" w:rsidR="00137DF8" w:rsidRDefault="0024621C">
            <w:pPr>
              <w:pStyle w:val="Default"/>
              <w:spacing w:after="320"/>
              <w:outlineLvl w:val="0"/>
              <w:rPr>
                <w:rFonts w:hint="eastAsia"/>
              </w:rPr>
            </w:pPr>
            <w:r>
              <w:rPr>
                <w:color w:val="1F9CBE"/>
                <w:sz w:val="12"/>
                <w:szCs w:val="12"/>
                <w:u w:val="single" w:color="1F9CBE"/>
                <w14:textOutline w14:w="12700" w14:cap="flat" w14:cmpd="sng" w14:algn="ctr">
                  <w14:noFill/>
                  <w14:prstDash w14:val="solid"/>
                  <w14:miter w14:lim="400000"/>
                </w14:textOutline>
              </w:rPr>
              <w:t>Asins serums</w:t>
            </w:r>
            <w:r>
              <w:rPr>
                <w:color w:val="1F9CBE"/>
                <w:sz w:val="12"/>
                <w:szCs w:val="12"/>
                <w:u w:color="1F9CBE"/>
                <w14:textOutline w14:w="12700" w14:cap="flat" w14:cmpd="sng" w14:algn="ctr">
                  <w14:noFill/>
                  <w14:prstDash w14:val="solid"/>
                  <w14:miter w14:lim="400000"/>
                </w14:textOutline>
              </w:rPr>
              <w:t xml:space="preserve"> </w:t>
            </w:r>
            <w:r>
              <w:rPr>
                <w:sz w:val="12"/>
                <w:szCs w:val="12"/>
                <w:u w:color="000000"/>
                <w14:textOutline w14:w="12700" w14:cap="flat" w14:cmpd="sng" w14:algn="ctr">
                  <w14:noFill/>
                  <w14:prstDash w14:val="solid"/>
                  <w14:miter w14:lim="400000"/>
                </w14:textOutline>
              </w:rPr>
              <w:br/>
              <w:t>CSŠ</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957D6" w14:textId="77777777" w:rsidR="00137DF8" w:rsidRDefault="0024621C">
            <w:pPr>
              <w:pStyle w:val="Default"/>
              <w:spacing w:after="320"/>
              <w:outlineLvl w:val="0"/>
              <w:rPr>
                <w:rFonts w:hint="eastAsia"/>
              </w:rPr>
            </w:pPr>
            <w:r>
              <w:rPr>
                <w:sz w:val="12"/>
                <w:szCs w:val="12"/>
                <w:u w:color="1F9CBE"/>
                <w14:textOutline w14:w="12700" w14:cap="flat" w14:cmpd="sng" w14:algn="ctr">
                  <w14:noFill/>
                  <w14:prstDash w14:val="solid"/>
                  <w14:miter w14:lim="400000"/>
                </w14:textOutline>
              </w:rPr>
              <w:t>RFFIT</w:t>
            </w:r>
            <w:r>
              <w:rPr>
                <w:color w:val="1F9CBE"/>
                <w:sz w:val="12"/>
                <w:szCs w:val="12"/>
                <w:u w:val="single" w:color="1F9CBE"/>
                <w14:textOutline w14:w="12700" w14:cap="flat" w14:cmpd="sng" w14:algn="ctr">
                  <w14:noFill/>
                  <w14:prstDash w14:val="solid"/>
                  <w14:miter w14:lim="400000"/>
                </w14:textOutline>
              </w:rPr>
              <w:t xml:space="preserve"> </w:t>
            </w:r>
            <w:r>
              <w:rPr>
                <w:color w:val="1F9CBE"/>
                <w:sz w:val="12"/>
                <w:szCs w:val="12"/>
                <w:u w:val="single" w:color="1F9CBE"/>
                <w14:textOutline w14:w="12700" w14:cap="flat" w14:cmpd="sng" w14:algn="ctr">
                  <w14:noFill/>
                  <w14:prstDash w14:val="solid"/>
                  <w14:miter w14:lim="400000"/>
                </w14:textOutline>
              </w:rPr>
              <w:br/>
              <w:t>FAVN – tests (veic BIOR un NRL)</w:t>
            </w:r>
            <w:r>
              <w:rPr>
                <w:sz w:val="12"/>
                <w:szCs w:val="12"/>
                <w:u w:color="000000"/>
                <w14:textOutline w14:w="12700" w14:cap="flat" w14:cmpd="sng" w14:algn="ctr">
                  <w14:noFill/>
                  <w14:prstDash w14:val="solid"/>
                  <w14:miter w14:lim="400000"/>
                </w14:textOutline>
              </w:rPr>
              <w:br/>
            </w:r>
            <w:r>
              <w:rPr>
                <w:sz w:val="12"/>
                <w:szCs w:val="12"/>
                <w:u w:color="000000"/>
                <w:lang w:val="nl-NL"/>
                <w14:textOutline w14:w="12700" w14:cap="flat" w14:cmpd="sng" w14:algn="ctr">
                  <w14:noFill/>
                  <w14:prstDash w14:val="solid"/>
                  <w14:miter w14:lim="400000"/>
                </w14:textOutline>
              </w:rPr>
              <w:t>IFA</w:t>
            </w:r>
            <w:r>
              <w:rPr>
                <w:sz w:val="12"/>
                <w:szCs w:val="12"/>
                <w:u w:color="000000"/>
                <w14:textOutline w14:w="12700" w14:cap="flat" w14:cmpd="sng" w14:algn="ctr">
                  <w14:noFill/>
                  <w14:prstDash w14:val="solid"/>
                  <w14:miter w14:lim="400000"/>
                </w14:textOutline>
              </w:rPr>
              <w:br/>
            </w:r>
            <w:r>
              <w:rPr>
                <w:sz w:val="12"/>
                <w:szCs w:val="12"/>
                <w:u w:color="1F9CBE"/>
                <w:lang w:val="de-DE"/>
                <w14:textOutline w14:w="12700" w14:cap="flat" w14:cmpd="sng" w14:algn="ctr">
                  <w14:noFill/>
                  <w14:prstDash w14:val="solid"/>
                  <w14:miter w14:lim="400000"/>
                </w14:textOutline>
              </w:rPr>
              <w:t>ELISA</w:t>
            </w:r>
            <w:r>
              <w:rPr>
                <w:color w:val="1F9CBE"/>
                <w:sz w:val="12"/>
                <w:szCs w:val="12"/>
                <w:u w:color="1F9CBE"/>
                <w14:textOutline w14:w="12700" w14:cap="flat" w14:cmpd="sng" w14:algn="ctr">
                  <w14:noFill/>
                  <w14:prstDash w14:val="solid"/>
                  <w14:miter w14:lim="400000"/>
                </w14:textOutline>
              </w:rPr>
              <w:t xml:space="preserve"> </w:t>
            </w:r>
          </w:p>
        </w:tc>
      </w:tr>
      <w:tr w:rsidR="00137DF8" w14:paraId="6619C5B8" w14:textId="77777777">
        <w:trPr>
          <w:trHeight w:val="649"/>
        </w:trPr>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5D4E4"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Pēc nāves (cilvēks)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A514BA"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r>
              <w:rPr>
                <w:sz w:val="12"/>
                <w:szCs w:val="12"/>
                <w:u w:color="000000"/>
                <w14:textOutline w14:w="12700" w14:cap="flat" w14:cmpd="sng" w14:algn="ctr">
                  <w14:noFill/>
                  <w14:prstDash w14:val="solid"/>
                  <w14:miter w14:lim="400000"/>
                </w14:textOutline>
              </w:rPr>
              <w:br/>
              <w:t>Āda/mata folikuli</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924F9" w14:textId="77777777" w:rsidR="00137DF8" w:rsidRDefault="0024621C">
            <w:pPr>
              <w:pStyle w:val="Default"/>
              <w:spacing w:after="320"/>
              <w:outlineLvl w:val="0"/>
              <w:rPr>
                <w:rFonts w:hint="eastAsia"/>
              </w:rPr>
            </w:pPr>
            <w:r>
              <w:rPr>
                <w:color w:val="1F9CBE"/>
                <w:sz w:val="12"/>
                <w:szCs w:val="12"/>
                <w:u w:val="single" w:color="1F9CBE"/>
                <w:lang w:val="de-DE"/>
                <w14:textOutline w14:w="12700" w14:cap="flat" w14:cmpd="sng" w14:algn="ctr">
                  <w14:noFill/>
                  <w14:prstDash w14:val="solid"/>
                  <w14:miter w14:lim="400000"/>
                </w14:textOutline>
              </w:rPr>
              <w:t>DFAT (veic BIOR)</w:t>
            </w:r>
            <w:r>
              <w:rPr>
                <w:sz w:val="12"/>
                <w:szCs w:val="12"/>
                <w:u w:color="000000"/>
                <w14:textOutline w14:w="12700" w14:cap="flat" w14:cmpd="sng" w14:algn="ctr">
                  <w14:noFill/>
                  <w14:prstDash w14:val="solid"/>
                  <w14:miter w14:lim="400000"/>
                </w14:textOutline>
              </w:rPr>
              <w:br/>
            </w:r>
            <w:r>
              <w:rPr>
                <w:sz w:val="12"/>
                <w:szCs w:val="12"/>
                <w:u w:color="000000"/>
                <w:lang w:val="da-DK"/>
                <w14:textOutline w14:w="12700" w14:cap="flat" w14:cmpd="sng" w14:algn="ctr">
                  <w14:noFill/>
                  <w14:prstDash w14:val="solid"/>
                  <w14:miter w14:lim="400000"/>
                </w14:textOutline>
              </w:rPr>
              <w:t>DRIT</w:t>
            </w:r>
            <w:r>
              <w:rPr>
                <w:sz w:val="12"/>
                <w:szCs w:val="12"/>
                <w:u w:color="000000"/>
                <w14:textOutline w14:w="12700" w14:cap="flat" w14:cmpd="sng" w14:algn="ctr">
                  <w14:noFill/>
                  <w14:prstDash w14:val="solid"/>
                  <w14:miter w14:lim="400000"/>
                </w14:textOutline>
              </w:rPr>
              <w:br/>
              <w:t>IHC</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C329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r>
              <w:rPr>
                <w:sz w:val="12"/>
                <w:szCs w:val="12"/>
                <w:u w:color="000000"/>
                <w14:textOutline w14:w="12700" w14:cap="flat" w14:cmpd="sng" w14:algn="ctr">
                  <w14:noFill/>
                  <w14:prstDash w14:val="solid"/>
                  <w14:miter w14:lim="400000"/>
                </w14:textOutline>
              </w:rPr>
              <w:br/>
              <w:t>Āda/mata folikuli</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1E4F75" w14:textId="77777777" w:rsidR="00137DF8" w:rsidRDefault="0024621C">
            <w:pPr>
              <w:pStyle w:val="Default"/>
              <w:spacing w:after="320"/>
              <w:outlineLvl w:val="0"/>
              <w:rPr>
                <w:rFonts w:hint="eastAsia"/>
              </w:rPr>
            </w:pPr>
            <w:r>
              <w:rPr>
                <w:color w:val="1F9CBE"/>
                <w:sz w:val="12"/>
                <w:szCs w:val="12"/>
                <w:u w:val="single" w:color="1F9CBE"/>
                <w14:textOutline w14:w="12700" w14:cap="flat" w14:cmpd="sng" w14:algn="ctr">
                  <w14:noFill/>
                  <w14:prstDash w14:val="solid"/>
                  <w14:miter w14:lim="400000"/>
                </w14:textOutline>
              </w:rPr>
              <w:t>RT-PCR (veic BIOR)</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B0B99"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8F375" w14:textId="77777777" w:rsidR="00137DF8" w:rsidRDefault="0024621C">
            <w:pPr>
              <w:pStyle w:val="Default"/>
              <w:spacing w:after="320"/>
              <w:outlineLvl w:val="0"/>
              <w:rPr>
                <w:rFonts w:hint="eastAsia"/>
              </w:rPr>
            </w:pPr>
            <w:r>
              <w:rPr>
                <w:color w:val="1F9CBE"/>
                <w:sz w:val="12"/>
                <w:szCs w:val="12"/>
                <w:u w:val="single" w:color="1F9CBE"/>
                <w:lang w:val="de-DE"/>
                <w14:textOutline w14:w="12700" w14:cap="flat" w14:cmpd="sng" w14:algn="ctr">
                  <w14:noFill/>
                  <w14:prstDash w14:val="solid"/>
                  <w14:miter w14:lim="400000"/>
                </w14:textOutline>
              </w:rPr>
              <w:t>RTCIT (veic BIOR)</w:t>
            </w:r>
            <w:r>
              <w:rPr>
                <w:sz w:val="12"/>
                <w:szCs w:val="12"/>
                <w:u w:color="000000"/>
                <w14:textOutline w14:w="12700" w14:cap="flat" w14:cmpd="sng" w14:algn="ctr">
                  <w14:noFill/>
                  <w14:prstDash w14:val="solid"/>
                  <w14:miter w14:lim="400000"/>
                </w14:textOutline>
              </w:rPr>
              <w:br/>
              <w:t>M1</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0812E"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NP</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8ABF5"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NP</w:t>
            </w:r>
          </w:p>
        </w:tc>
      </w:tr>
      <w:tr w:rsidR="00137DF8" w14:paraId="25E7F83A" w14:textId="77777777">
        <w:trPr>
          <w:trHeight w:val="649"/>
        </w:trPr>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31D62"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Pēc nāves (dzīvnieks)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ADD8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1E607" w14:textId="77777777" w:rsidR="00137DF8" w:rsidRDefault="0024621C">
            <w:pPr>
              <w:pStyle w:val="Default"/>
              <w:spacing w:after="320"/>
              <w:outlineLvl w:val="0"/>
              <w:rPr>
                <w:rFonts w:hint="eastAsia"/>
              </w:rPr>
            </w:pPr>
            <w:r>
              <w:rPr>
                <w:color w:val="1F9CBE"/>
                <w:sz w:val="12"/>
                <w:szCs w:val="12"/>
                <w:u w:color="1F9CBE"/>
                <w:lang w:val="de-DE"/>
                <w14:textOutline w14:w="12700" w14:cap="flat" w14:cmpd="sng" w14:algn="ctr">
                  <w14:noFill/>
                  <w14:prstDash w14:val="solid"/>
                  <w14:miter w14:lim="400000"/>
                </w14:textOutline>
              </w:rPr>
              <w:t>DFAT (veic BIOR)</w:t>
            </w:r>
            <w:r>
              <w:rPr>
                <w:sz w:val="12"/>
                <w:szCs w:val="12"/>
                <w:u w:color="000000"/>
                <w14:textOutline w14:w="12700" w14:cap="flat" w14:cmpd="sng" w14:algn="ctr">
                  <w14:noFill/>
                  <w14:prstDash w14:val="solid"/>
                  <w14:miter w14:lim="400000"/>
                </w14:textOutline>
              </w:rPr>
              <w:br/>
            </w:r>
            <w:r>
              <w:rPr>
                <w:sz w:val="12"/>
                <w:szCs w:val="12"/>
                <w:u w:color="000000"/>
                <w:lang w:val="da-DK"/>
                <w14:textOutline w14:w="12700" w14:cap="flat" w14:cmpd="sng" w14:algn="ctr">
                  <w14:noFill/>
                  <w14:prstDash w14:val="solid"/>
                  <w14:miter w14:lim="400000"/>
                </w14:textOutline>
              </w:rPr>
              <w:t>DRIT</w:t>
            </w:r>
            <w:r>
              <w:rPr>
                <w:sz w:val="12"/>
                <w:szCs w:val="12"/>
                <w:u w:color="000000"/>
                <w14:textOutline w14:w="12700" w14:cap="flat" w14:cmpd="sng" w14:algn="ctr">
                  <w14:noFill/>
                  <w14:prstDash w14:val="solid"/>
                  <w14:miter w14:lim="400000"/>
                </w14:textOutline>
              </w:rPr>
              <w:br/>
              <w:t>IHC</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26DC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BAB0A8" w14:textId="77777777" w:rsidR="00137DF8" w:rsidRDefault="0024621C">
            <w:pPr>
              <w:pStyle w:val="Default"/>
              <w:spacing w:after="320"/>
              <w:outlineLvl w:val="0"/>
              <w:rPr>
                <w:rFonts w:hint="eastAsia"/>
              </w:rPr>
            </w:pPr>
            <w:r>
              <w:rPr>
                <w:color w:val="1F9CBE"/>
                <w:sz w:val="12"/>
                <w:szCs w:val="12"/>
                <w:u w:val="single" w:color="1F9CBE"/>
                <w14:textOutline w14:w="12700" w14:cap="flat" w14:cmpd="sng" w14:algn="ctr">
                  <w14:noFill/>
                  <w14:prstDash w14:val="solid"/>
                  <w14:miter w14:lim="400000"/>
                </w14:textOutline>
              </w:rPr>
              <w:t>RT-PCR (veic BIOR)</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7E170"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Smadzenes</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07FAC" w14:textId="77777777" w:rsidR="00137DF8" w:rsidRDefault="0024621C">
            <w:pPr>
              <w:pStyle w:val="Default"/>
              <w:spacing w:after="320"/>
              <w:outlineLvl w:val="0"/>
              <w:rPr>
                <w:rFonts w:hint="eastAsia"/>
              </w:rPr>
            </w:pPr>
            <w:r>
              <w:rPr>
                <w:color w:val="1F9CBE"/>
                <w:sz w:val="12"/>
                <w:szCs w:val="12"/>
                <w:u w:val="single" w:color="1F9CBE"/>
                <w:lang w:val="de-DE"/>
                <w14:textOutline w14:w="12700" w14:cap="flat" w14:cmpd="sng" w14:algn="ctr">
                  <w14:noFill/>
                  <w14:prstDash w14:val="solid"/>
                  <w14:miter w14:lim="400000"/>
                </w14:textOutline>
              </w:rPr>
              <w:t>RTCIT (veic BIOR)</w:t>
            </w:r>
            <w:r>
              <w:rPr>
                <w:color w:val="1F9CBE"/>
                <w:sz w:val="12"/>
                <w:szCs w:val="12"/>
                <w:u w:val="single" w:color="1F9CBE"/>
                <w14:textOutline w14:w="12700" w14:cap="flat" w14:cmpd="sng" w14:algn="ctr">
                  <w14:noFill/>
                  <w14:prstDash w14:val="solid"/>
                  <w14:miter w14:lim="400000"/>
                </w14:textOutline>
              </w:rPr>
              <w:br/>
            </w:r>
            <w:r>
              <w:rPr>
                <w:sz w:val="12"/>
                <w:szCs w:val="12"/>
                <w:u w:color="000000"/>
                <w14:textOutline w14:w="12700" w14:cap="flat" w14:cmpd="sng" w14:algn="ctr">
                  <w14:noFill/>
                  <w14:prstDash w14:val="solid"/>
                  <w14:miter w14:lim="400000"/>
                </w14:textOutline>
              </w:rPr>
              <w:t>M1</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EB83B"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NP</w:t>
            </w:r>
          </w:p>
        </w:tc>
        <w:tc>
          <w:tcPr>
            <w:tcW w:w="1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EABF7" w14:textId="77777777" w:rsidR="00137DF8" w:rsidRDefault="0024621C">
            <w:pPr>
              <w:pStyle w:val="Default"/>
              <w:spacing w:after="320"/>
              <w:outlineLvl w:val="0"/>
              <w:rPr>
                <w:rFonts w:hint="eastAsia"/>
              </w:rPr>
            </w:pPr>
            <w:r>
              <w:rPr>
                <w:sz w:val="12"/>
                <w:szCs w:val="12"/>
                <w:u w:color="000000"/>
                <w14:textOutline w14:w="12700" w14:cap="flat" w14:cmpd="sng" w14:algn="ctr">
                  <w14:noFill/>
                  <w14:prstDash w14:val="solid"/>
                  <w14:miter w14:lim="400000"/>
                </w14:textOutline>
              </w:rPr>
              <w:t>NP</w:t>
            </w:r>
          </w:p>
        </w:tc>
      </w:tr>
    </w:tbl>
    <w:p w14:paraId="4F2A8636" w14:textId="77777777" w:rsidR="00137DF8" w:rsidRDefault="00137DF8">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p>
    <w:p w14:paraId="2D6BA7DA" w14:textId="77777777" w:rsidR="00137DF8" w:rsidRDefault="0024621C">
      <w:pPr>
        <w:pStyle w:val="Default"/>
        <w:spacing w:after="160" w:line="288" w:lineRule="auto"/>
        <w:outlineLvl w:val="0"/>
        <w:rPr>
          <w:rFonts w:hint="eastAsia"/>
          <w:i/>
          <w:iCs/>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Saīsinājumi:</w:t>
      </w:r>
      <w:r>
        <w:rPr>
          <w:sz w:val="18"/>
          <w:szCs w:val="18"/>
          <w:u w:color="000000"/>
          <w14:textOutline w14:w="12700" w14:cap="flat" w14:cmpd="sng" w14:algn="ctr">
            <w14:noFill/>
            <w14:prstDash w14:val="solid"/>
            <w14:miter w14:lim="400000"/>
          </w14:textOutline>
        </w:rPr>
        <w:br/>
        <w:t xml:space="preserve">CSŠ - cerebrospinālais šķidrums, DRIT - </w:t>
      </w:r>
      <w:r>
        <w:rPr>
          <w:i/>
          <w:iCs/>
          <w:sz w:val="18"/>
          <w:szCs w:val="18"/>
          <w:u w:color="000000"/>
          <w14:textOutline w14:w="12700" w14:cap="flat" w14:cmpd="sng" w14:algn="ctr">
            <w14:noFill/>
            <w14:prstDash w14:val="solid"/>
            <w14:miter w14:lim="400000"/>
          </w14:textOutline>
        </w:rPr>
        <w:t>direct rapid immunohistochemical test</w:t>
      </w:r>
      <w:r>
        <w:rPr>
          <w:sz w:val="18"/>
          <w:szCs w:val="18"/>
          <w:u w:color="000000"/>
          <w14:textOutline w14:w="12700" w14:cap="flat" w14:cmpd="sng" w14:algn="ctr">
            <w14:noFill/>
            <w14:prstDash w14:val="solid"/>
            <w14:miter w14:lim="400000"/>
          </w14:textOutline>
        </w:rPr>
        <w:t xml:space="preserve">, ELISA - </w:t>
      </w:r>
      <w:r>
        <w:rPr>
          <w:i/>
          <w:iCs/>
          <w:sz w:val="18"/>
          <w:szCs w:val="18"/>
          <w:u w:color="000000"/>
          <w14:textOutline w14:w="12700" w14:cap="flat" w14:cmpd="sng" w14:algn="ctr">
            <w14:noFill/>
            <w14:prstDash w14:val="solid"/>
            <w14:miter w14:lim="400000"/>
          </w14:textOutline>
        </w:rPr>
        <w:t>enzyme-linked immunosorbent assay</w:t>
      </w:r>
      <w:r>
        <w:rPr>
          <w:sz w:val="18"/>
          <w:szCs w:val="18"/>
          <w:u w:color="000000"/>
          <w14:textOutline w14:w="12700" w14:cap="flat" w14:cmpd="sng" w14:algn="ctr">
            <w14:noFill/>
            <w14:prstDash w14:val="solid"/>
            <w14:miter w14:lim="400000"/>
          </w14:textOutline>
        </w:rPr>
        <w:t xml:space="preserve">, DFAT - </w:t>
      </w:r>
      <w:r>
        <w:rPr>
          <w:i/>
          <w:iCs/>
          <w:sz w:val="18"/>
          <w:szCs w:val="18"/>
          <w:u w:color="000000"/>
          <w14:textOutline w14:w="12700" w14:cap="flat" w14:cmpd="sng" w14:algn="ctr">
            <w14:noFill/>
            <w14:prstDash w14:val="solid"/>
            <w14:miter w14:lim="400000"/>
          </w14:textOutline>
        </w:rPr>
        <w:t>direct fluorescent antibody test</w:t>
      </w:r>
      <w:r>
        <w:rPr>
          <w:sz w:val="18"/>
          <w:szCs w:val="18"/>
          <w:u w:color="000000"/>
          <w14:textOutline w14:w="12700" w14:cap="flat" w14:cmpd="sng" w14:algn="ctr">
            <w14:noFill/>
            <w14:prstDash w14:val="solid"/>
            <w14:miter w14:lim="400000"/>
          </w14:textOutline>
        </w:rPr>
        <w:t xml:space="preserve">, FAVN - </w:t>
      </w:r>
      <w:r>
        <w:rPr>
          <w:i/>
          <w:iCs/>
          <w:sz w:val="18"/>
          <w:szCs w:val="18"/>
          <w:u w:color="000000"/>
          <w14:textOutline w14:w="12700" w14:cap="flat" w14:cmpd="sng" w14:algn="ctr">
            <w14:noFill/>
            <w14:prstDash w14:val="solid"/>
            <w14:miter w14:lim="400000"/>
          </w14:textOutline>
        </w:rPr>
        <w:t>fluorescent antibody virus neutralization</w:t>
      </w:r>
      <w:r>
        <w:rPr>
          <w:sz w:val="18"/>
          <w:szCs w:val="18"/>
          <w:u w:color="000000"/>
          <w14:textOutline w14:w="12700" w14:cap="flat" w14:cmpd="sng" w14:algn="ctr">
            <w14:noFill/>
            <w14:prstDash w14:val="solid"/>
            <w14:miter w14:lim="400000"/>
          </w14:textOutline>
        </w:rPr>
        <w:t xml:space="preserve">, IFA - </w:t>
      </w:r>
      <w:r>
        <w:rPr>
          <w:i/>
          <w:iCs/>
          <w:sz w:val="18"/>
          <w:szCs w:val="18"/>
          <w:u w:color="000000"/>
          <w14:textOutline w14:w="12700" w14:cap="flat" w14:cmpd="sng" w14:algn="ctr">
            <w14:noFill/>
            <w14:prstDash w14:val="solid"/>
            <w14:miter w14:lim="400000"/>
          </w14:textOutline>
        </w:rPr>
        <w:t>indirect immunofluorescence</w:t>
      </w:r>
      <w:r>
        <w:rPr>
          <w:sz w:val="18"/>
          <w:szCs w:val="18"/>
          <w:u w:color="000000"/>
          <w14:textOutline w14:w="12700" w14:cap="flat" w14:cmpd="sng" w14:algn="ctr">
            <w14:noFill/>
            <w14:prstDash w14:val="solid"/>
            <w14:miter w14:lim="400000"/>
          </w14:textOutline>
        </w:rPr>
        <w:t xml:space="preserve">, IHC - </w:t>
      </w:r>
      <w:r>
        <w:rPr>
          <w:i/>
          <w:iCs/>
          <w:sz w:val="18"/>
          <w:szCs w:val="18"/>
          <w:u w:color="000000"/>
          <w14:textOutline w14:w="12700" w14:cap="flat" w14:cmpd="sng" w14:algn="ctr">
            <w14:noFill/>
            <w14:prstDash w14:val="solid"/>
            <w14:miter w14:lim="400000"/>
          </w14:textOutline>
        </w:rPr>
        <w:t>immunohistochemistry on formalin-fixed samples</w:t>
      </w:r>
      <w:r>
        <w:rPr>
          <w:sz w:val="18"/>
          <w:szCs w:val="18"/>
          <w:u w:color="000000"/>
          <w14:textOutline w14:w="12700" w14:cap="flat" w14:cmpd="sng" w14:algn="ctr">
            <w14:noFill/>
            <w14:prstDash w14:val="solid"/>
            <w14:miter w14:lim="400000"/>
          </w14:textOutline>
        </w:rPr>
        <w:t xml:space="preserve">, MI - </w:t>
      </w:r>
      <w:r>
        <w:rPr>
          <w:i/>
          <w:iCs/>
          <w:sz w:val="18"/>
          <w:szCs w:val="18"/>
          <w:u w:color="000000"/>
          <w14:textOutline w14:w="12700" w14:cap="flat" w14:cmpd="sng" w14:algn="ctr">
            <w14:noFill/>
            <w14:prstDash w14:val="solid"/>
            <w14:miter w14:lim="400000"/>
          </w14:textOutline>
        </w:rPr>
        <w:t>mouse inoculation test</w:t>
      </w:r>
      <w:r>
        <w:rPr>
          <w:sz w:val="18"/>
          <w:szCs w:val="18"/>
          <w:u w:color="000000"/>
          <w14:textOutline w14:w="12700" w14:cap="flat" w14:cmpd="sng" w14:algn="ctr">
            <w14:noFill/>
            <w14:prstDash w14:val="solid"/>
            <w14:miter w14:lim="400000"/>
          </w14:textOutline>
        </w:rPr>
        <w:t xml:space="preserve">, NP - nav piemērojams, RTCIT - </w:t>
      </w:r>
      <w:r>
        <w:rPr>
          <w:i/>
          <w:iCs/>
          <w:sz w:val="18"/>
          <w:szCs w:val="18"/>
          <w:u w:color="000000"/>
          <w14:textOutline w14:w="12700" w14:cap="flat" w14:cmpd="sng" w14:algn="ctr">
            <w14:noFill/>
            <w14:prstDash w14:val="solid"/>
            <w14:miter w14:lim="400000"/>
          </w14:textOutline>
        </w:rPr>
        <w:t>rabies cell culture inoculation test</w:t>
      </w:r>
      <w:r>
        <w:rPr>
          <w:sz w:val="18"/>
          <w:szCs w:val="18"/>
          <w:u w:color="000000"/>
          <w14:textOutline w14:w="12700" w14:cap="flat" w14:cmpd="sng" w14:algn="ctr">
            <w14:noFill/>
            <w14:prstDash w14:val="solid"/>
            <w14:miter w14:lim="400000"/>
          </w14:textOutline>
        </w:rPr>
        <w:t xml:space="preserve">, RT-PCR - </w:t>
      </w:r>
      <w:r>
        <w:rPr>
          <w:i/>
          <w:iCs/>
          <w:sz w:val="18"/>
          <w:szCs w:val="18"/>
          <w:u w:color="000000"/>
          <w14:textOutline w14:w="12700" w14:cap="flat" w14:cmpd="sng" w14:algn="ctr">
            <w14:noFill/>
            <w14:prstDash w14:val="solid"/>
            <w14:miter w14:lim="400000"/>
          </w14:textOutline>
        </w:rPr>
        <w:t>reverse transcriptase-polymerase chain reaction</w:t>
      </w:r>
    </w:p>
    <w:p w14:paraId="16130EB2" w14:textId="77777777" w:rsidR="00137DF8" w:rsidRDefault="002D61D6">
      <w:pPr>
        <w:pStyle w:val="Default"/>
        <w:spacing w:after="160" w:line="288" w:lineRule="auto"/>
        <w:outlineLvl w:val="0"/>
        <w:rPr>
          <w:rFonts w:hint="eastAsia"/>
          <w:b/>
          <w:bCs/>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lastRenderedPageBreak/>
        <w:drawing>
          <wp:anchor distT="152400" distB="152400" distL="152400" distR="152400" simplePos="0" relativeHeight="251665408" behindDoc="0" locked="0" layoutInCell="1" allowOverlap="1" wp14:anchorId="69C2A2A4" wp14:editId="6AE65893">
            <wp:simplePos x="0" y="0"/>
            <wp:positionH relativeFrom="margin">
              <wp:posOffset>-14301</wp:posOffset>
            </wp:positionH>
            <wp:positionV relativeFrom="line">
              <wp:posOffset>366339</wp:posOffset>
            </wp:positionV>
            <wp:extent cx="6184900" cy="3950302"/>
            <wp:effectExtent l="0" t="0" r="0" b="0"/>
            <wp:wrapThrough wrapText="bothSides" distL="152400" distR="152400">
              <wp:wrapPolygon edited="1">
                <wp:start x="0" y="0"/>
                <wp:lineTo x="21600" y="0"/>
                <wp:lineTo x="21600" y="21632"/>
                <wp:lineTo x="0" y="21632"/>
                <wp:lineTo x="0" y="0"/>
              </wp:wrapPolygon>
            </wp:wrapThrough>
            <wp:docPr id="1073741838" name="officeArt object" descr="Image"/>
            <wp:cNvGraphicFramePr/>
            <a:graphic xmlns:a="http://schemas.openxmlformats.org/drawingml/2006/main">
              <a:graphicData uri="http://schemas.openxmlformats.org/drawingml/2006/picture">
                <pic:pic xmlns:pic="http://schemas.openxmlformats.org/drawingml/2006/picture">
                  <pic:nvPicPr>
                    <pic:cNvPr id="1073741838" name="Image" descr="Image"/>
                    <pic:cNvPicPr>
                      <a:picLocks noChangeAspect="1"/>
                    </pic:cNvPicPr>
                  </pic:nvPicPr>
                  <pic:blipFill>
                    <a:blip r:embed="rId26"/>
                    <a:stretch>
                      <a:fillRect/>
                    </a:stretch>
                  </pic:blipFill>
                  <pic:spPr>
                    <a:xfrm>
                      <a:off x="0" y="0"/>
                      <a:ext cx="6184900" cy="3950302"/>
                    </a:xfrm>
                    <a:prstGeom prst="rect">
                      <a:avLst/>
                    </a:prstGeom>
                    <a:ln w="12700" cap="flat">
                      <a:noFill/>
                      <a:miter lim="400000"/>
                    </a:ln>
                    <a:effectLst/>
                  </pic:spPr>
                </pic:pic>
              </a:graphicData>
            </a:graphic>
          </wp:anchor>
        </w:drawing>
      </w:r>
      <w:r>
        <w:rPr>
          <w:b/>
          <w:bCs/>
          <w:sz w:val="18"/>
          <w:szCs w:val="18"/>
          <w:u w:color="000000"/>
          <w14:textOutline w14:w="12700" w14:cap="flat" w14:cmpd="sng" w14:algn="ctr">
            <w14:noFill/>
            <w14:prstDash w14:val="solid"/>
            <w14:miter w14:lim="400000"/>
          </w14:textOutline>
        </w:rPr>
        <w:t>Shēma Nr. 6. Laboratoriskas diagnostikas shēma cilvēkam dzīves laikā trakumsērgas gadījumā</w:t>
      </w:r>
    </w:p>
    <w:p w14:paraId="7427747D" w14:textId="77777777" w:rsidR="00137DF8" w:rsidRDefault="00137DF8">
      <w:pPr>
        <w:pStyle w:val="Default"/>
        <w:spacing w:after="160" w:line="288" w:lineRule="auto"/>
        <w:outlineLvl w:val="0"/>
        <w:rPr>
          <w:rFonts w:hint="eastAsia"/>
          <w:b/>
          <w:bCs/>
          <w:i/>
          <w:iCs/>
          <w:sz w:val="18"/>
          <w:szCs w:val="18"/>
          <w:u w:color="000000"/>
          <w14:textOutline w14:w="12700" w14:cap="flat" w14:cmpd="sng" w14:algn="ctr">
            <w14:noFill/>
            <w14:prstDash w14:val="solid"/>
            <w14:miter w14:lim="400000"/>
          </w14:textOutline>
        </w:rPr>
      </w:pPr>
    </w:p>
    <w:p w14:paraId="28ACD799" w14:textId="77777777" w:rsidR="00137DF8" w:rsidRDefault="002D61D6">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6432" behindDoc="0" locked="0" layoutInCell="1" allowOverlap="1" wp14:anchorId="21E0E7EE" wp14:editId="4C2E57EC">
            <wp:simplePos x="0" y="0"/>
            <wp:positionH relativeFrom="margin">
              <wp:align>right</wp:align>
            </wp:positionH>
            <wp:positionV relativeFrom="line">
              <wp:posOffset>324402</wp:posOffset>
            </wp:positionV>
            <wp:extent cx="6184900" cy="3114016"/>
            <wp:effectExtent l="0" t="0" r="6350" b="0"/>
            <wp:wrapThrough wrapText="bothSides" distL="152400" distR="152400">
              <wp:wrapPolygon edited="1">
                <wp:start x="0" y="0"/>
                <wp:lineTo x="21621" y="0"/>
                <wp:lineTo x="21621" y="21618"/>
                <wp:lineTo x="0" y="21618"/>
                <wp:lineTo x="0" y="0"/>
              </wp:wrapPolygon>
            </wp:wrapThrough>
            <wp:docPr id="1073741839" name="officeArt object" descr="Image"/>
            <wp:cNvGraphicFramePr/>
            <a:graphic xmlns:a="http://schemas.openxmlformats.org/drawingml/2006/main">
              <a:graphicData uri="http://schemas.openxmlformats.org/drawingml/2006/picture">
                <pic:pic xmlns:pic="http://schemas.openxmlformats.org/drawingml/2006/picture">
                  <pic:nvPicPr>
                    <pic:cNvPr id="1073741839" name="Image" descr="Image"/>
                    <pic:cNvPicPr>
                      <a:picLocks noChangeAspect="1"/>
                    </pic:cNvPicPr>
                  </pic:nvPicPr>
                  <pic:blipFill>
                    <a:blip r:embed="rId27"/>
                    <a:stretch>
                      <a:fillRect/>
                    </a:stretch>
                  </pic:blipFill>
                  <pic:spPr>
                    <a:xfrm>
                      <a:off x="0" y="0"/>
                      <a:ext cx="6184900" cy="3114016"/>
                    </a:xfrm>
                    <a:prstGeom prst="rect">
                      <a:avLst/>
                    </a:prstGeom>
                    <a:ln w="12700" cap="flat">
                      <a:noFill/>
                      <a:miter lim="400000"/>
                    </a:ln>
                    <a:effectLst/>
                  </pic:spPr>
                </pic:pic>
              </a:graphicData>
            </a:graphic>
          </wp:anchor>
        </w:drawing>
      </w:r>
      <w:r>
        <w:rPr>
          <w:b/>
          <w:bCs/>
          <w:sz w:val="18"/>
          <w:szCs w:val="18"/>
          <w:u w:color="000000"/>
          <w14:textOutline w14:w="12700" w14:cap="flat" w14:cmpd="sng" w14:algn="ctr">
            <w14:noFill/>
            <w14:prstDash w14:val="solid"/>
            <w14:miter w14:lim="400000"/>
          </w14:textOutline>
        </w:rPr>
        <w:t>Shēma Nr. 7. Laboratoriskās diagnostikas shēma cilvēkam pēc nāves</w:t>
      </w:r>
    </w:p>
    <w:p w14:paraId="09D7C98C" w14:textId="77777777" w:rsidR="00137DF8" w:rsidRDefault="00137DF8">
      <w:pPr>
        <w:pStyle w:val="Default"/>
        <w:spacing w:after="160" w:line="288" w:lineRule="auto"/>
        <w:jc w:val="both"/>
        <w:outlineLvl w:val="0"/>
        <w:rPr>
          <w:rFonts w:hint="eastAsia"/>
          <w:i/>
          <w:iCs/>
          <w:sz w:val="18"/>
          <w:szCs w:val="18"/>
          <w:u w:color="000000"/>
          <w14:textOutline w14:w="12700" w14:cap="flat" w14:cmpd="sng" w14:algn="ctr">
            <w14:noFill/>
            <w14:prstDash w14:val="solid"/>
            <w14:miter w14:lim="400000"/>
          </w14:textOutline>
        </w:rPr>
      </w:pPr>
    </w:p>
    <w:p w14:paraId="365BC5D8" w14:textId="77777777" w:rsidR="00137DF8" w:rsidRDefault="0024621C">
      <w:pPr>
        <w:pStyle w:val="Default"/>
        <w:spacing w:after="160" w:line="288" w:lineRule="auto"/>
        <w:jc w:val="both"/>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lastRenderedPageBreak/>
        <w:t>13. Ar trakumsērgu slimo pacientu aprūpe</w:t>
      </w:r>
    </w:p>
    <w:p w14:paraId="79C1BBF8" w14:textId="77777777" w:rsidR="00137DF8" w:rsidRDefault="0024621C">
      <w:pPr>
        <w:pStyle w:val="Default"/>
        <w:spacing w:after="160" w:line="288" w:lineRule="auto"/>
        <w:jc w:val="both"/>
        <w:outlineLvl w:val="0"/>
        <w:rPr>
          <w:rFonts w:hint="eastAsia"/>
          <w:sz w:val="18"/>
          <w:szCs w:val="18"/>
          <w:u w:color="000000"/>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Trakumsērga ir fatāla saslimšana, kuras gadījumā novēroti vien pāris izdzīvojušie. Katru gadu aptuveni 59 000 pacientu mirst no trakumsērgas visā pasaulē. Lielākā mirstība tiek novērota nabadzīgās kopienās Āzijā un Āfrikā, kur ir augsta suņu pārnestās trakumsērgas incidence, kā arī ir apgrūtināta savlaicīga un pieejama pēcekspozīcijas profilakse.</w:t>
      </w:r>
    </w:p>
    <w:p w14:paraId="18550465"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Šobrīd pasaulē nav pieejama efektīva terapija trakumsērgas ārstēšanai. Terapijā izmanto uz pierādījumiem balstītu simptomātisko terapiju ciešanu mazināšanai un cieņpilnai aprūpei. </w:t>
      </w:r>
      <w:r w:rsidRPr="0021328C">
        <w:rPr>
          <w:sz w:val="18"/>
          <w:szCs w:val="18"/>
          <w:u w:color="000000"/>
          <w:lang w:val="fr-FR"/>
          <w14:textOutline w14:w="12700" w14:cap="flat" w14:cmpd="sng" w14:algn="ctr">
            <w14:noFill/>
            <w14:prstDash w14:val="solid"/>
            <w14:miter w14:lim="400000"/>
          </w14:textOutline>
        </w:rPr>
        <w:t>Gandrīz visi inficētie pacienti nomirst.</w:t>
      </w:r>
    </w:p>
    <w:p w14:paraId="10964E5E"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fr-FR"/>
          <w14:textOutline w14:w="12700" w14:cap="flat" w14:cmpd="sng" w14:algn="ctr">
            <w14:noFill/>
            <w14:prstDash w14:val="solid"/>
            <w14:miter w14:lim="400000"/>
          </w14:textOutline>
        </w:rPr>
      </w:pPr>
      <w:r w:rsidRPr="0021328C">
        <w:rPr>
          <w:rFonts w:ascii="Graphik Semibold" w:hAnsi="Graphik Semibold"/>
          <w:sz w:val="18"/>
          <w:szCs w:val="18"/>
          <w:u w:color="000000"/>
          <w:lang w:val="fr-FR"/>
          <w14:textOutline w14:w="12700" w14:cap="flat" w14:cmpd="sng" w14:algn="ctr">
            <w14:noFill/>
            <w14:prstDash w14:val="solid"/>
            <w14:miter w14:lim="400000"/>
          </w14:textOutline>
        </w:rPr>
        <w:t>Ar traumsērgu slimu pacientu paliatīvā aprūpe</w:t>
      </w:r>
    </w:p>
    <w:p w14:paraId="71491E0C"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Visiem pacientiem ar trakumsērgu jābūt pieejamai paliatīvai aprūpei visās veselības aprūpes iestādēs. Lielākā daļa ar trakumsērgu slimie pacienti saglabā skaidru apziņu un skaidri izprot savas saslimšanas gaitu un notiekošo. Aprūpe slimnīcā trakumsērgas slimajiem pacientiem ir nepieciešama, lai atvieglotu pacientu ciešanas un nodrošinātu adekvātu, cieņpilnu paliatīvo aprūpi. Tā kā trakumsērga nav kontagioza, tā nevar ierosināt lokālu uzliesmojumu slimnīcā. Ja pacients vai pacienta radinieki atsakās no hospitalizācijas vai pieprasa izrakstīšanu no slimnīcas (kulturālu, reliģisku apsvērumu dēļ), jānodrošina ambulatora paliatīvā aprūpe.</w:t>
      </w:r>
    </w:p>
    <w:p w14:paraId="1D12B184"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Pacientiem ar pierādītu trakumsērgu jāsaņem hidrācija, sedācija un aprūpe piemērotās iestādēs un telpās (klusās, bez vides kairinātājiem) ar atbilstoši fizisko un emocionālo aprūpi. Jāievēro pacienta privātās un kulturālās vajadzības. Tiklīdz ir precizēta un apstiprināta trakumsērgas diagnoze, par to jāziņo pacienta tuviniekiem un jāizrunā slimības iznākums un aprūpes aspekti.</w:t>
      </w:r>
    </w:p>
    <w:p w14:paraId="7130D1DE"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Diazepāms ir efektīvs sedācijai un muskuļu relaksācijai, to var ievadīt subkutāni, intravenozi un rektāli. Lorazepāms un midazolāms ir alternatīva diazepāmam. Morfijs kā pretsāpju medikaments var tikt ievadīts subkutāni, intravenozi, taču bieži vien ir grūti nodrošināt intravenozo pieeju. Haloperidols tiek ieteikts nemierīguma, ažitācijas, halucināciju un agresijas mazināšanai, bet atsevišķi ārsti izvairās no haloperidola lietošanas tā blakņu dēļ, kā arī tāpēc, ka sedācija kombinācijā ar haloperidolu ir grūtāk kontrolējama. Pārmērīga siekalošanās tiek ārstēta ar antiholīnerģiskajiem medikamentiem kā, piemēram, skopolamīns. Paaugstinātu ķermeņa temperatūru ārstē ar antipirētiķiem, piemēram, paracetamolu vai ibuprofēnu. Medikamenti jātitrē tā, lai izvairītos no intubācijas. Tiklīdz tiek diagnosticēta trakumsērgas “nevaldāmā” forma, jāizvairās no invazīvām procedūrām vai dzīvību uzturošiem pasākumiem.</w:t>
      </w:r>
    </w:p>
    <w:p w14:paraId="78F02556"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fr-FR"/>
          <w14:textOutline w14:w="12700" w14:cap="flat" w14:cmpd="sng" w14:algn="ctr">
            <w14:noFill/>
            <w14:prstDash w14:val="solid"/>
            <w14:miter w14:lim="400000"/>
          </w14:textOutline>
        </w:rPr>
      </w:pPr>
      <w:r w:rsidRPr="0021328C">
        <w:rPr>
          <w:rFonts w:ascii="Graphik Semibold" w:hAnsi="Graphik Semibold"/>
          <w:sz w:val="18"/>
          <w:szCs w:val="18"/>
          <w:u w:color="000000"/>
          <w:lang w:val="fr-FR"/>
          <w14:textOutline w14:w="12700" w14:cap="flat" w14:cmpd="sng" w14:algn="ctr">
            <w14:noFill/>
            <w14:prstDash w14:val="solid"/>
            <w14:miter w14:lim="400000"/>
          </w14:textOutline>
        </w:rPr>
        <w:t>Izdzīvojušie pacienti un “agresīvie” terapijas protokoli</w:t>
      </w:r>
    </w:p>
    <w:p w14:paraId="2FD53F77"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Pasaulē ir zināmi vismaz 15 pēc trakumsērgas izdzīvojušie cilvēki. Visos, izņemot vienu gadījumu, izdzīvojušie bija saņēmuši vismaz vienu vai vairākas trakumsērgas vakcīnas devas pirms klīnisko simptomu manifestācijas. Izdzīvojušiem novēroja imūnās atbildes reakciju ar vīrusa neitralizējošo antivielu veidošanos asins serumā un cerebrospinālajā šķidrumā. </w:t>
      </w:r>
    </w:p>
    <w:p w14:paraId="22F08F60"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Pašlaik zināmais “agresīvās” terapijas protokols jeb </w:t>
      </w:r>
      <w:r w:rsidRPr="0021328C">
        <w:rPr>
          <w:i/>
          <w:iCs/>
          <w:sz w:val="18"/>
          <w:szCs w:val="18"/>
          <w:u w:color="000000"/>
          <w:lang w:val="fr-FR"/>
          <w14:textOutline w14:w="12700" w14:cap="flat" w14:cmpd="sng" w14:algn="ctr">
            <w14:noFill/>
            <w14:prstDash w14:val="solid"/>
            <w14:miter w14:lim="400000"/>
          </w14:textOutline>
        </w:rPr>
        <w:t>Milwaukee</w:t>
      </w:r>
      <w:r w:rsidRPr="0021328C">
        <w:rPr>
          <w:sz w:val="18"/>
          <w:szCs w:val="18"/>
          <w:u w:color="000000"/>
          <w:lang w:val="fr-FR"/>
          <w14:textOutline w14:w="12700" w14:cap="flat" w14:cmpd="sng" w14:algn="ctr">
            <w14:noFill/>
            <w14:prstDash w14:val="solid"/>
            <w14:miter w14:lim="400000"/>
          </w14:textOutline>
        </w:rPr>
        <w:t xml:space="preserve"> protokols mazticami rezultējas ar izdzīvošanu bez smagām, paliekošām sekām. Šāda “agresīva” terapija ir apsverama, ja veselības aprūpes personāls ir pieredzējis, vai ja ir iespēja strādāt kopā ar pieredzējušiem ekspertiem, aprūpē pielietojot ētiskus, iepriekš apstiprinātus protokolus. Aprūpes un terapijas taktika jāsaskaņo ar pacienta radiniekiem un ar citiem medicīnas aprūpes kolēģiem tikai pēc tam, kad tiek izslēgtas citas diferenciāldiagnozes.</w:t>
      </w:r>
    </w:p>
    <w:p w14:paraId="01B912DF"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fr-FR"/>
          <w14:textOutline w14:w="12700" w14:cap="flat" w14:cmpd="sng" w14:algn="ctr">
            <w14:noFill/>
            <w14:prstDash w14:val="solid"/>
            <w14:miter w14:lim="400000"/>
          </w14:textOutline>
        </w:rPr>
      </w:pPr>
      <w:r w:rsidRPr="0021328C">
        <w:rPr>
          <w:rFonts w:ascii="Graphik Semibold" w:hAnsi="Graphik Semibold"/>
          <w:sz w:val="18"/>
          <w:szCs w:val="18"/>
          <w:u w:color="000000"/>
          <w:lang w:val="fr-FR"/>
          <w14:textOutline w14:w="12700" w14:cap="flat" w14:cmpd="sng" w14:algn="ctr">
            <w14:noFill/>
            <w14:prstDash w14:val="solid"/>
            <w14:miter w14:lim="400000"/>
          </w14:textOutline>
        </w:rPr>
        <w:t>Intensīvā (simptomātiskā) terapija</w:t>
      </w:r>
    </w:p>
    <w:p w14:paraId="3415A2F2"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Pirmais izdzīvojušais pēc trakumsērgas dokumentēts 1969. gadā. 2004. gadā dokumentēts veiksmīgas ārstēšanas gadījums Amerikas Savienotajās valstīs, izmantojot </w:t>
      </w:r>
      <w:r w:rsidRPr="0021328C">
        <w:rPr>
          <w:i/>
          <w:iCs/>
          <w:sz w:val="18"/>
          <w:szCs w:val="18"/>
          <w:u w:color="000000"/>
          <w:lang w:val="fr-FR"/>
          <w14:textOutline w14:w="12700" w14:cap="flat" w14:cmpd="sng" w14:algn="ctr">
            <w14:noFill/>
            <w14:prstDash w14:val="solid"/>
            <w14:miter w14:lim="400000"/>
          </w14:textOutline>
        </w:rPr>
        <w:t>Milwaukee</w:t>
      </w:r>
      <w:r w:rsidRPr="0021328C">
        <w:rPr>
          <w:sz w:val="18"/>
          <w:szCs w:val="18"/>
          <w:u w:color="000000"/>
          <w:lang w:val="fr-FR"/>
          <w14:textOutline w14:w="12700" w14:cap="flat" w14:cmpd="sng" w14:algn="ctr">
            <w14:noFill/>
            <w14:prstDash w14:val="solid"/>
            <w14:miter w14:lim="400000"/>
          </w14:textOutline>
        </w:rPr>
        <w:t xml:space="preserve"> protokolu, kas vēlāk praksē pielietots vairākas reizes, taču neveiksmīgi. Pēdējo gadu laikā dokumentēti 6 izdzīvošanas gadījumi Indijā, taču izdzīvojušajiem novērotas smagas neiroloģiskas sekas. </w:t>
      </w:r>
    </w:p>
    <w:p w14:paraId="3D18DEA8"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“Agresīva” terapija ir saistīta ar augstu terapijas neizdošanās risku, kā arī grūtībām to realizēt, ja ir ierobežoti resursi. Turklāt tikai tie pacienti, kuri ir pie skaidras apziņas un kuriem nav nomākta vides stimulu uztvere, var tikt iekļauti “agresīvas” terapijas protokolos. </w:t>
      </w:r>
    </w:p>
    <w:p w14:paraId="7E229B1C"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Joprojām nav zināmi faktori, kas varētu veicināt labvēlīga iznākuma attīstību. Pacienti, kuriem agrīni veidojās antivielas pret trakumsērgas vīrusu asins serumā un cerebrospinālajā šķidrumā, un kuriem nebija iespējams atrast vīrusa RNS bioloģiskajos paraugos, bija starp izdzīvojušajiem “agresīvas” terapijas rezultātā, taču lielākā daļa palika ķermeņa funkcionēšanas stadijā.</w:t>
      </w:r>
    </w:p>
    <w:p w14:paraId="10A57756" w14:textId="77777777" w:rsidR="00137DF8" w:rsidRPr="0021328C" w:rsidRDefault="0024621C" w:rsidP="002D61D6">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Ja tiek apsvērts aprūpē pielietot “agresīvas” terapijas protokolu, jāņem vērā sekojošais:</w:t>
      </w:r>
      <w:r w:rsidRPr="0021328C">
        <w:rPr>
          <w:sz w:val="18"/>
          <w:szCs w:val="18"/>
          <w:u w:color="000000"/>
          <w:lang w:val="fr-FR"/>
          <w14:textOutline w14:w="12700" w14:cap="flat" w14:cmpd="sng" w14:algn="ctr">
            <w14:noFill/>
            <w14:prstDash w14:val="solid"/>
            <w14:miter w14:lim="400000"/>
          </w14:textOutline>
        </w:rPr>
        <w:br/>
        <w:t xml:space="preserve">- trakumsērga praktiski vienmēr ir nenovēršami fatāla infekcijas slimība, ļoti nelielai daļai cilvēku ir izdevies izdzīvot, taču ar </w:t>
      </w:r>
      <w:r w:rsidRPr="0021328C">
        <w:rPr>
          <w:sz w:val="18"/>
          <w:szCs w:val="18"/>
          <w:u w:color="000000"/>
          <w:lang w:val="fr-FR"/>
          <w14:textOutline w14:w="12700" w14:cap="flat" w14:cmpd="sng" w14:algn="ctr">
            <w14:noFill/>
            <w14:prstDash w14:val="solid"/>
            <w14:miter w14:lim="400000"/>
          </w14:textOutline>
        </w:rPr>
        <w:lastRenderedPageBreak/>
        <w:t>nopietnām, paliekošām sekām/komplikācijām, kas negatīvi un ilgtermiņā ietekmēs gan paša pacienta, gan viņa radinieku dzīves,</w:t>
      </w:r>
      <w:r w:rsidRPr="0021328C">
        <w:rPr>
          <w:sz w:val="18"/>
          <w:szCs w:val="18"/>
          <w:u w:color="000000"/>
          <w:lang w:val="fr-FR"/>
          <w14:textOutline w14:w="12700" w14:cap="flat" w14:cmpd="sng" w14:algn="ctr">
            <w14:noFill/>
            <w14:prstDash w14:val="solid"/>
            <w14:miter w14:lim="400000"/>
          </w14:textOutline>
        </w:rPr>
        <w:br/>
        <w:t>- lielākai daļai izdzīvojušo, neatkarīgi no tā vai bija vai nebija saņēmuši terapiju, novērota spēcīga, agrīna imūnā atbilde,</w:t>
      </w:r>
      <w:r w:rsidRPr="0021328C">
        <w:rPr>
          <w:sz w:val="18"/>
          <w:szCs w:val="18"/>
          <w:u w:color="000000"/>
          <w:lang w:val="fr-FR"/>
          <w14:textOutline w14:w="12700" w14:cap="flat" w14:cmpd="sng" w14:algn="ctr">
            <w14:noFill/>
            <w14:prstDash w14:val="solid"/>
            <w14:miter w14:lim="400000"/>
          </w14:textOutline>
        </w:rPr>
        <w:br/>
        <w:t>- uz doto brīdi nav iespējams ticami paredzēt, kuri pacienti varētu izdzīvot,</w:t>
      </w:r>
      <w:r w:rsidRPr="0021328C">
        <w:rPr>
          <w:sz w:val="18"/>
          <w:szCs w:val="18"/>
          <w:u w:color="000000"/>
          <w:lang w:val="fr-FR"/>
          <w14:textOutline w14:w="12700" w14:cap="flat" w14:cmpd="sng" w14:algn="ctr">
            <w14:noFill/>
            <w14:prstDash w14:val="solid"/>
            <w14:miter w14:lim="400000"/>
          </w14:textOutline>
        </w:rPr>
        <w:br/>
        <w:t>- terapijai jābūt pacientam drošai un tā nedrīkst nodarīt kaitējumu,</w:t>
      </w:r>
      <w:r w:rsidRPr="0021328C">
        <w:rPr>
          <w:sz w:val="18"/>
          <w:szCs w:val="18"/>
          <w:u w:color="000000"/>
          <w:lang w:val="fr-FR"/>
          <w14:textOutline w14:w="12700" w14:cap="flat" w14:cmpd="sng" w14:algn="ctr">
            <w14:noFill/>
            <w14:prstDash w14:val="solid"/>
            <w14:miter w14:lim="400000"/>
          </w14:textOutline>
        </w:rPr>
        <w:br/>
        <w:t xml:space="preserve">- rūpīgi izstrādāti un plānoti pētījumi, kas veikti, ievērojot ētikas principus, lai atkātu trakumsērgas slimnieku aprūpes un terapijas protokolus, imūnmodulējošas procedūras un jaunus medikamentus infekcijas slimības ārstēšanai, ir atbalstāmi un veicināmi. </w:t>
      </w:r>
    </w:p>
    <w:p w14:paraId="36DFE2F4"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fr-FR"/>
          <w14:textOutline w14:w="12700" w14:cap="flat" w14:cmpd="sng" w14:algn="ctr">
            <w14:noFill/>
            <w14:prstDash w14:val="solid"/>
            <w14:miter w14:lim="400000"/>
          </w14:textOutline>
        </w:rPr>
      </w:pPr>
      <w:r w:rsidRPr="0021328C">
        <w:rPr>
          <w:rFonts w:ascii="Graphik Semibold" w:hAnsi="Graphik Semibold"/>
          <w:sz w:val="18"/>
          <w:szCs w:val="18"/>
          <w:u w:color="000000"/>
          <w:lang w:val="fr-FR"/>
          <w14:textOutline w14:w="12700" w14:cap="flat" w14:cmpd="sng" w14:algn="ctr">
            <w14:noFill/>
            <w14:prstDash w14:val="solid"/>
            <w14:miter w14:lim="400000"/>
          </w14:textOutline>
        </w:rPr>
        <w:t>Trakumsērgas specifiskā terapija</w:t>
      </w:r>
    </w:p>
    <w:p w14:paraId="461273C5"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Medikamentiem, kurus varētu izmantot specifiskai terapijai, jābūt tādiem, kas spētu šķērsot hematoencefālisko barjeru, kas veicinātu antivielu vai imūnās sistēmas efektoro šūnu kustību caur šo barjeru, vai arī, kas veicinātu audu atbrīvošanos no vīrusa. Šobrīd ir zināmas vairākas vielas, kas varētu būt efektīvas cīņai ar trakumsērgas vīrusu, bet pirms to izmantošanas klīniskajā praksē, nepieciešams pierādīt, ka šīs vielas ir drošas un nekaitē pacientam. Pacienta dzīvību glābjošu iemeslu dēļ šie medikamenti terapijā var tikt izmantoti tikai tajos gadījumos, kad to izmantošanu ir apstiprinājušas ētikas komitejas.</w:t>
      </w:r>
    </w:p>
    <w:p w14:paraId="4CF03132"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Trakumsērgas vakcīnas un RIG izmantošana terapijā ir kontroversiāla: var apsvērt vakcīnas ievadi, ja pacients nav saņēmis pilnu pēcekspozīcijas profilaksi, taču nav pārliecinošu pierādījumu, vai šāda rīcība ir ar kādu ievērojamu ieguvumu pacientam; RIG ārstēšanā rutīnā neizmanto, jo imūnglobulīni nešķērso hematoencefālisko barjeru, līdz ar to nav pārliecības par tā lietderīgumu.</w:t>
      </w:r>
    </w:p>
    <w:p w14:paraId="359C22D5"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Antivirālie medikamenti (interferons alfa, ribavirīns, amantadīns) tiek izmantoti, neskatoties uz pierādījumu trūkumu par šo medikamentu pārliecinošu efektivitāti. Trūkst arī datu, kuri norādītu uz kāda viena līdzekļa pārākumu pār citiem, tāpēc lēmums par to izmantošanu pamatā balstās ārstējošā ārsta viedoklī un pieredzē. </w:t>
      </w:r>
    </w:p>
    <w:p w14:paraId="41F10CC9"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No neiroprotektīvajiem medikamentiem šobrīd nav zināmi tādi, kuri būtu izmantojami trakumsērgas terapijā. Par potenciāli neiroprotektīvu terapiju varētu uzskatīt smadzeņu hipotermiju, ko nodrošina vai ar dzesējošu ķiveri vai intranazālu atdzesēšanu. Iespējami protektīvu efektivitāti uzrādījis ketamīns, taču </w:t>
      </w:r>
      <w:r w:rsidRPr="0021328C">
        <w:rPr>
          <w:i/>
          <w:iCs/>
          <w:sz w:val="18"/>
          <w:szCs w:val="18"/>
          <w:u w:color="000000"/>
          <w:lang w:val="fr-FR"/>
          <w14:textOutline w14:w="12700" w14:cap="flat" w14:cmpd="sng" w14:algn="ctr">
            <w14:noFill/>
            <w14:prstDash w14:val="solid"/>
            <w14:miter w14:lim="400000"/>
          </w14:textOutline>
        </w:rPr>
        <w:t>in vitro</w:t>
      </w:r>
      <w:r w:rsidRPr="0021328C">
        <w:rPr>
          <w:sz w:val="18"/>
          <w:szCs w:val="18"/>
          <w:u w:color="000000"/>
          <w:lang w:val="fr-FR"/>
          <w14:textOutline w14:w="12700" w14:cap="flat" w14:cmpd="sng" w14:algn="ctr">
            <w14:noFill/>
            <w14:prstDash w14:val="solid"/>
            <w14:miter w14:lim="400000"/>
          </w14:textOutline>
        </w:rPr>
        <w:t xml:space="preserve"> un dzīvnieku modeļu pētījumos tā neiroprotektīvā efektivitāte nav uzrādījusies. </w:t>
      </w:r>
    </w:p>
    <w:p w14:paraId="578458D4" w14:textId="77777777" w:rsidR="00137DF8"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Terapijas, kas netiek rekomendētas trakumsērgas gadījumā - kortikosteroīdi, minociklīns, terapeitiskā koma un cerebrālo vazospazmu profilakse (nimodipīns, C vitamīns, sapropterīns, L-arginīns). </w:t>
      </w:r>
    </w:p>
    <w:p w14:paraId="1520F19E"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178BE3BD"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2F18C719"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218ECFCB"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1B63CE54"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16B6A46E"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55628C5F"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3A7826C8"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47ABE2EF"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7FB8F599"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6B7CB267"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6E59051C"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153CACF9" w14:textId="77777777" w:rsidR="00600FA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3566DA3F" w14:textId="77777777" w:rsidR="00600FAC" w:rsidRPr="0021328C" w:rsidRDefault="00600FA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p>
    <w:p w14:paraId="0B50A6BE" w14:textId="77777777" w:rsidR="00137DF8" w:rsidRPr="0021328C" w:rsidRDefault="0024621C">
      <w:pPr>
        <w:pStyle w:val="Default"/>
        <w:spacing w:after="160" w:line="288" w:lineRule="auto"/>
        <w:outlineLvl w:val="0"/>
        <w:rPr>
          <w:rFonts w:hint="eastAsia"/>
          <w:b/>
          <w:bCs/>
          <w:sz w:val="18"/>
          <w:szCs w:val="18"/>
          <w:u w:color="000000"/>
          <w:lang w:val="fr-FR"/>
          <w14:textOutline w14:w="12700" w14:cap="flat" w14:cmpd="sng" w14:algn="ctr">
            <w14:noFill/>
            <w14:prstDash w14:val="solid"/>
            <w14:miter w14:lim="400000"/>
          </w14:textOutline>
        </w:rPr>
      </w:pPr>
      <w:r w:rsidRPr="0021328C">
        <w:rPr>
          <w:b/>
          <w:bCs/>
          <w:sz w:val="18"/>
          <w:szCs w:val="18"/>
          <w:u w:color="000000"/>
          <w:lang w:val="fr-FR"/>
          <w14:textOutline w14:w="12700" w14:cap="flat" w14:cmpd="sng" w14:algn="ctr">
            <w14:noFill/>
            <w14:prstDash w14:val="solid"/>
            <w14:miter w14:lim="400000"/>
          </w14:textOutline>
        </w:rPr>
        <w:lastRenderedPageBreak/>
        <w:t>Shēma Nr. 8. Rekomendētais algoritms apstiprināto vai aizdomīgo trakumsērgas pacientu aprūpei</w:t>
      </w:r>
    </w:p>
    <w:p w14:paraId="301985D1" w14:textId="77777777" w:rsidR="00137DF8" w:rsidRPr="0021328C" w:rsidRDefault="002D61D6">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r>
        <w:rPr>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7456" behindDoc="0" locked="0" layoutInCell="1" allowOverlap="1" wp14:anchorId="28EFD6FF" wp14:editId="1417BB72">
            <wp:simplePos x="0" y="0"/>
            <wp:positionH relativeFrom="margin">
              <wp:posOffset>891540</wp:posOffset>
            </wp:positionH>
            <wp:positionV relativeFrom="line">
              <wp:posOffset>45085</wp:posOffset>
            </wp:positionV>
            <wp:extent cx="4387850" cy="3937000"/>
            <wp:effectExtent l="0" t="0" r="0" b="0"/>
            <wp:wrapThrough wrapText="bothSides" distL="152400" distR="152400">
              <wp:wrapPolygon edited="1">
                <wp:start x="0" y="0"/>
                <wp:lineTo x="21600" y="0"/>
                <wp:lineTo x="21600" y="21600"/>
                <wp:lineTo x="0" y="21600"/>
                <wp:lineTo x="0" y="0"/>
              </wp:wrapPolygon>
            </wp:wrapThrough>
            <wp:docPr id="1073741840" name="officeArt object" descr="Image"/>
            <wp:cNvGraphicFramePr/>
            <a:graphic xmlns:a="http://schemas.openxmlformats.org/drawingml/2006/main">
              <a:graphicData uri="http://schemas.openxmlformats.org/drawingml/2006/picture">
                <pic:pic xmlns:pic="http://schemas.openxmlformats.org/drawingml/2006/picture">
                  <pic:nvPicPr>
                    <pic:cNvPr id="1073741840" name="Image" descr="Image"/>
                    <pic:cNvPicPr>
                      <a:picLocks noChangeAspect="1"/>
                    </pic:cNvPicPr>
                  </pic:nvPicPr>
                  <pic:blipFill>
                    <a:blip r:embed="rId28"/>
                    <a:stretch>
                      <a:fillRect/>
                    </a:stretch>
                  </pic:blipFill>
                  <pic:spPr>
                    <a:xfrm>
                      <a:off x="0" y="0"/>
                      <a:ext cx="4387850" cy="3937000"/>
                    </a:xfrm>
                    <a:prstGeom prst="rect">
                      <a:avLst/>
                    </a:prstGeom>
                    <a:ln w="12700" cap="flat">
                      <a:noFill/>
                      <a:miter lim="400000"/>
                    </a:ln>
                    <a:effectLst/>
                  </pic:spPr>
                </pic:pic>
              </a:graphicData>
            </a:graphic>
          </wp:anchor>
        </w:drawing>
      </w:r>
    </w:p>
    <w:p w14:paraId="5E2F5EA4"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5A4EB0DD"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17E3EEB8"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1E49D9EB"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1239D461"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4F955611"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F13B94C"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2B85A66"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1570C0F7"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1A78944"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3349BEC2"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F27F623"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B1A7881"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318DB3E6" w14:textId="77777777" w:rsidR="00137DF8" w:rsidRPr="0021328C" w:rsidRDefault="00137DF8">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p>
    <w:p w14:paraId="243B3986" w14:textId="77777777" w:rsidR="00137DF8" w:rsidRPr="0021328C" w:rsidRDefault="0024621C">
      <w:pPr>
        <w:pStyle w:val="Default"/>
        <w:spacing w:after="160" w:line="288" w:lineRule="auto"/>
        <w:jc w:val="both"/>
        <w:outlineLvl w:val="0"/>
        <w:rPr>
          <w:rFonts w:ascii="Graphik Semibold" w:eastAsia="Graphik Semibold" w:hAnsi="Graphik Semibold" w:cs="Graphik Semibold"/>
          <w:sz w:val="18"/>
          <w:szCs w:val="18"/>
          <w:u w:color="000000"/>
          <w:lang w:val="fr-FR"/>
          <w14:textOutline w14:w="12700" w14:cap="flat" w14:cmpd="sng" w14:algn="ctr">
            <w14:noFill/>
            <w14:prstDash w14:val="solid"/>
            <w14:miter w14:lim="400000"/>
          </w14:textOutline>
        </w:rPr>
      </w:pPr>
      <w:r w:rsidRPr="0021328C">
        <w:rPr>
          <w:rFonts w:ascii="Graphik Semibold" w:hAnsi="Graphik Semibold"/>
          <w:sz w:val="18"/>
          <w:szCs w:val="18"/>
          <w:u w:color="000000"/>
          <w:lang w:val="fr-FR"/>
          <w14:textOutline w14:w="12700" w14:cap="flat" w14:cmpd="sng" w14:algn="ctr">
            <w14:noFill/>
            <w14:prstDash w14:val="solid"/>
            <w14:miter w14:lim="400000"/>
          </w14:textOutline>
        </w:rPr>
        <w:t>Rekomendācijas veselības aprūpes personālam un ar trakumsērgu slimā pacienta radiniekiem</w:t>
      </w:r>
    </w:p>
    <w:p w14:paraId="0F1AA1A6"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Lielākā daļa ar trakumsērgu slimo pacientu nomirst, un pacienta tuviniekiem jāsaņem pilnīga informācija par paredzamo iznākumu un pacienta aprūpes iespējām. Trakumsērgas pacientu aprūpe var veicināt trauksmes attīstību gan veselības aprūpes personālam, gan tuviniekiem. Cilvēku trakumsērga nerada inficēšanās risku veselības aprūpes personālam arī tādu procedūru veikšanas laikā kā intubācija vai elpceļu satura atsūkšana, ja tiek ievēroti parastie piesardzības pasākumi.</w:t>
      </w:r>
    </w:p>
    <w:p w14:paraId="0BB81A3A" w14:textId="77777777" w:rsidR="00137DF8" w:rsidRPr="0021328C" w:rsidRDefault="0024621C">
      <w:pPr>
        <w:pStyle w:val="Default"/>
        <w:spacing w:after="160" w:line="288" w:lineRule="auto"/>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Pasaulē nav apstiprinātu gadījumu trakumsērgas vīrusa transmisijai no cilvēka uz cilvēku, izņemot vīrusa transmisiju orgānu vai audu transplantācijas gadījumā vai laboratorijas apstākļos aerosola veidā. Trakumsērgas vīruss arī neizplatās caur kontaminētiem objektiem vai materiāliem (drēbes, gultasveļa utt.), tas izplatās caur tiešu kontaktu - neintakta āda vai gļotādas (acu, deguna, mutes) ar inficētiem bioloģiskajiem šķidrumiem vai audiem. Šis vīruss ir arī ļoti trausls un iet bojā pēc bioloģisko šķidrumu izžūšanas uz virsmām, ultravioleto staru ietekmē un pēc rutīnā pieejamo dezinfektantu lietošanas.</w:t>
      </w:r>
    </w:p>
    <w:p w14:paraId="30D2CA09"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PEP jānodrošina atsevišķiem veselības aprūpes speciālistiem, izvērtējot individuālo risku, kā arī tiem, kuriem ir augsts risks, nepieciešams atgādināt par individuālajiem aizsardzības līdzekļiem (parastie piesardzības pasākumi; cimdu, priekšauta, aizsargbriļļu, maskas lietošana tādu procedūru veikšanā, kur var rasties aerosoli - intubācija, elpcēlu sekrētu atsūkšana) kā jebkuras infekciju slimības gadījumā. Slimnīcās, kurās paredzama trakumsērgas slimo pacientu aprūpe, var apsvērt tā veselības aprūpes personāla PrEP, kuri nodrošinās šo pacientu aprūpi. PEP apsverama pacientu dzīvesbiedriem, jo slimības agrīnajās fāzēs, kamēr simptomi nav izteikti, pastāv hipotētisks vīrusa transmisijas risks cieša sadzīves vai seksuālā kontakta laikā.</w:t>
      </w:r>
    </w:p>
    <w:p w14:paraId="219D8021" w14:textId="77777777" w:rsidR="00137DF8" w:rsidRPr="0021328C" w:rsidRDefault="0024621C">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Ar trakumsērgu slima pacienta ārstniecībā un aprūpē iesaistītie nerada inficēšanās risku saviem tuviniekiem, mājniekiem un sabiedrībai. Zīdīšana nav saistāma ar trakumsērgas transmisijas risku no mātes zīdainim. </w:t>
      </w:r>
    </w:p>
    <w:p w14:paraId="3249490E" w14:textId="77777777" w:rsidR="00137DF8" w:rsidRPr="0021328C" w:rsidRDefault="0024621C" w:rsidP="002D61D6">
      <w:pPr>
        <w:pStyle w:val="Default"/>
        <w:spacing w:after="160" w:line="288" w:lineRule="auto"/>
        <w:jc w:val="both"/>
        <w:outlineLvl w:val="0"/>
        <w:rPr>
          <w:rFonts w:hint="eastAsia"/>
          <w:sz w:val="18"/>
          <w:szCs w:val="18"/>
          <w:u w:color="000000"/>
          <w:lang w:val="fr-FR"/>
          <w14:textOutline w14:w="12700" w14:cap="flat" w14:cmpd="sng" w14:algn="ctr">
            <w14:noFill/>
            <w14:prstDash w14:val="solid"/>
            <w14:miter w14:lim="400000"/>
          </w14:textOutline>
        </w:rPr>
      </w:pPr>
      <w:r w:rsidRPr="0021328C">
        <w:rPr>
          <w:sz w:val="18"/>
          <w:szCs w:val="18"/>
          <w:u w:color="000000"/>
          <w:lang w:val="fr-FR"/>
          <w14:textOutline w14:w="12700" w14:cap="flat" w14:cmpd="sng" w14:algn="ctr">
            <w14:noFill/>
            <w14:prstDash w14:val="solid"/>
            <w14:miter w14:lim="400000"/>
          </w14:textOutline>
        </w:rPr>
        <w:t xml:space="preserve">To pacientu ķermeņi, kas miruši no trakumsērgas, ir uzskatāmi par infekcioziem, bet ne kontagioziem. Transmisijas risks ir ļoti zems. Autopsija jāveic, rūpīgi ievērojot piesardzības pasākumus un individuālo aizsardzību. </w:t>
      </w:r>
    </w:p>
    <w:p w14:paraId="40847A79" w14:textId="77777777" w:rsidR="00666469" w:rsidRPr="0021328C" w:rsidRDefault="00666469" w:rsidP="002D61D6">
      <w:pPr>
        <w:pStyle w:val="Default"/>
        <w:spacing w:after="160" w:line="288" w:lineRule="auto"/>
        <w:jc w:val="both"/>
        <w:outlineLvl w:val="0"/>
        <w:rPr>
          <w:rFonts w:hint="eastAsia"/>
          <w:sz w:val="18"/>
          <w:szCs w:val="18"/>
          <w:u w:color="4D4D4D"/>
          <w:lang w:val="fr-FR"/>
          <w14:textOutline w14:w="12700" w14:cap="flat" w14:cmpd="sng" w14:algn="ctr">
            <w14:noFill/>
            <w14:prstDash w14:val="solid"/>
            <w14:miter w14:lim="400000"/>
          </w14:textOutline>
        </w:rPr>
      </w:pPr>
    </w:p>
    <w:p w14:paraId="355B4C60" w14:textId="77777777" w:rsidR="00137DF8" w:rsidRDefault="0024621C">
      <w:pPr>
        <w:pStyle w:val="Default"/>
        <w:spacing w:after="160" w:line="288" w:lineRule="auto"/>
        <w:outlineLvl w:val="0"/>
        <w:rPr>
          <w:rFonts w:hint="eastAsia"/>
          <w:b/>
          <w:bCs/>
          <w:sz w:val="18"/>
          <w:szCs w:val="18"/>
          <w:u w:color="000000"/>
          <w14:textOutline w14:w="12700" w14:cap="flat" w14:cmpd="sng" w14:algn="ctr">
            <w14:noFill/>
            <w14:prstDash w14:val="solid"/>
            <w14:miter w14:lim="400000"/>
          </w14:textOutline>
        </w:rPr>
      </w:pPr>
      <w:r>
        <w:rPr>
          <w:b/>
          <w:bCs/>
          <w:sz w:val="18"/>
          <w:szCs w:val="18"/>
          <w:u w:color="000000"/>
          <w14:textOutline w14:w="12700" w14:cap="flat" w14:cmpd="sng" w14:algn="ctr">
            <w14:noFill/>
            <w14:prstDash w14:val="solid"/>
            <w14:miter w14:lim="400000"/>
          </w14:textOutline>
        </w:rPr>
        <w:lastRenderedPageBreak/>
        <w:t>15. Izmantotā literatūra</w:t>
      </w:r>
    </w:p>
    <w:p w14:paraId="0A8DBF3E"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sz w:val="18"/>
          <w:szCs w:val="18"/>
          <w:u w:color="000000"/>
          <w14:textOutline w14:w="12700" w14:cap="flat" w14:cmpd="sng" w14:algn="ctr">
            <w14:noFill/>
            <w14:prstDash w14:val="solid"/>
            <w14:miter w14:lim="400000"/>
          </w14:textOutline>
        </w:rPr>
        <w:t xml:space="preserve">Ministru kabineta noteikumi Nr.7. Infekcijas slimību reģistrācijas kārtība. Rīgā 1999.gada 5.janvārī. Pieejams: </w:t>
      </w:r>
      <w:hyperlink r:id="rId29" w:history="1">
        <w:r>
          <w:rPr>
            <w:rStyle w:val="Hyperlink0"/>
            <w:sz w:val="18"/>
            <w:szCs w:val="18"/>
            <w14:textOutline w14:w="12700" w14:cap="flat" w14:cmpd="sng" w14:algn="ctr">
              <w14:noFill/>
              <w14:prstDash w14:val="solid"/>
              <w14:miter w14:lim="400000"/>
            </w14:textOutline>
          </w:rPr>
          <w:t>https://likumi.lv/doc.php?id=20667</w:t>
        </w:r>
      </w:hyperlink>
    </w:p>
    <w:p w14:paraId="7AEE621F" w14:textId="77777777" w:rsidR="00137DF8" w:rsidRPr="0021328C" w:rsidRDefault="0024621C">
      <w:pPr>
        <w:pStyle w:val="Default"/>
        <w:numPr>
          <w:ilvl w:val="0"/>
          <w:numId w:val="2"/>
        </w:numPr>
        <w:spacing w:after="160" w:line="288" w:lineRule="auto"/>
        <w:jc w:val="both"/>
        <w:outlineLvl w:val="0"/>
        <w:rPr>
          <w:rFonts w:hint="eastAsia"/>
          <w:color w:val="4D4D4D"/>
          <w:sz w:val="18"/>
          <w:szCs w:val="18"/>
          <w:u w:color="4D4D4D"/>
          <w:lang w:val="es-ES"/>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Ministru kabineta noteikumi Nr.178. Trakumsērgas profilakses un apkarošanas kārtība. </w:t>
      </w:r>
      <w:r w:rsidRPr="0021328C">
        <w:rPr>
          <w:rStyle w:val="None"/>
          <w:sz w:val="18"/>
          <w:szCs w:val="18"/>
          <w:u w:color="000000"/>
          <w:lang w:val="es-ES"/>
          <w14:textOutline w14:w="12700" w14:cap="flat" w14:cmpd="sng" w14:algn="ctr">
            <w14:noFill/>
            <w14:prstDash w14:val="solid"/>
            <w14:miter w14:lim="400000"/>
          </w14:textOutline>
        </w:rPr>
        <w:t xml:space="preserve">Rīgā 2010.gada 23.februārī. Pieejams: </w:t>
      </w:r>
      <w:hyperlink r:id="rId30" w:history="1">
        <w:r w:rsidRPr="0021328C">
          <w:rPr>
            <w:rStyle w:val="Hyperlink0"/>
            <w:sz w:val="18"/>
            <w:szCs w:val="18"/>
            <w:lang w:val="es-ES"/>
            <w14:textOutline w14:w="12700" w14:cap="flat" w14:cmpd="sng" w14:algn="ctr">
              <w14:noFill/>
              <w14:prstDash w14:val="solid"/>
              <w14:miter w14:lim="400000"/>
            </w14:textOutline>
          </w:rPr>
          <w:t>https://likumi.lv/doc.php?id=205795</w:t>
        </w:r>
      </w:hyperlink>
      <w:r w:rsidRPr="0021328C">
        <w:rPr>
          <w:rStyle w:val="None"/>
          <w:sz w:val="18"/>
          <w:szCs w:val="18"/>
          <w:u w:color="000000"/>
          <w:lang w:val="es-ES"/>
          <w14:textOutline w14:w="12700" w14:cap="flat" w14:cmpd="sng" w14:algn="ctr">
            <w14:noFill/>
            <w14:prstDash w14:val="solid"/>
            <w14:miter w14:lim="400000"/>
          </w14:textOutline>
        </w:rPr>
        <w:t xml:space="preserve"> </w:t>
      </w:r>
    </w:p>
    <w:p w14:paraId="26372CBC" w14:textId="77777777" w:rsidR="00137DF8" w:rsidRPr="0021328C" w:rsidRDefault="0024621C">
      <w:pPr>
        <w:pStyle w:val="Default"/>
        <w:numPr>
          <w:ilvl w:val="0"/>
          <w:numId w:val="2"/>
        </w:numPr>
        <w:spacing w:after="160" w:line="288" w:lineRule="auto"/>
        <w:jc w:val="both"/>
        <w:outlineLvl w:val="0"/>
        <w:rPr>
          <w:rFonts w:hint="eastAsia"/>
          <w:color w:val="4D4D4D"/>
          <w:sz w:val="18"/>
          <w:szCs w:val="18"/>
          <w:u w:color="4D4D4D"/>
          <w:lang w:val="es-ES"/>
          <w14:textOutline w14:w="12700" w14:cap="flat" w14:cmpd="sng" w14:algn="ctr">
            <w14:noFill/>
            <w14:prstDash w14:val="solid"/>
            <w14:miter w14:lim="400000"/>
          </w14:textOutline>
        </w:rPr>
      </w:pPr>
      <w:r w:rsidRPr="0021328C">
        <w:rPr>
          <w:rStyle w:val="None"/>
          <w:sz w:val="18"/>
          <w:szCs w:val="18"/>
          <w:u w:color="000000"/>
          <w:lang w:val="es-ES"/>
          <w14:textOutline w14:w="12700" w14:cap="flat" w14:cmpd="sng" w14:algn="ctr">
            <w14:noFill/>
            <w14:prstDash w14:val="solid"/>
            <w14:miter w14:lim="400000"/>
          </w14:textOutline>
        </w:rPr>
        <w:t xml:space="preserve">Ministru kabineta noteikumi Nr.265. Medicīnisko dokumentu lietvedības kārtība. Rīgā 2006.gada 4.aprīlī. Pieejams: </w:t>
      </w:r>
      <w:hyperlink r:id="rId31" w:history="1">
        <w:r w:rsidRPr="0021328C">
          <w:rPr>
            <w:rStyle w:val="Hyperlink0"/>
            <w:sz w:val="18"/>
            <w:szCs w:val="18"/>
            <w:lang w:val="es-ES"/>
            <w14:textOutline w14:w="12700" w14:cap="flat" w14:cmpd="sng" w14:algn="ctr">
              <w14:noFill/>
              <w14:prstDash w14:val="solid"/>
              <w14:miter w14:lim="400000"/>
            </w14:textOutline>
          </w:rPr>
          <w:t>https://likumi.lv/doc.php?id=132359</w:t>
        </w:r>
      </w:hyperlink>
      <w:r w:rsidRPr="0021328C">
        <w:rPr>
          <w:rStyle w:val="None"/>
          <w:sz w:val="18"/>
          <w:szCs w:val="18"/>
          <w:u w:color="000000"/>
          <w:lang w:val="es-ES"/>
          <w14:textOutline w14:w="12700" w14:cap="flat" w14:cmpd="sng" w14:algn="ctr">
            <w14:noFill/>
            <w14:prstDash w14:val="solid"/>
            <w14:miter w14:lim="400000"/>
          </w14:textOutline>
        </w:rPr>
        <w:t xml:space="preserve"> </w:t>
      </w:r>
    </w:p>
    <w:p w14:paraId="2DBBEA4F"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sidRPr="0021328C">
        <w:rPr>
          <w:rStyle w:val="None"/>
          <w:sz w:val="18"/>
          <w:szCs w:val="18"/>
          <w:u w:color="000000"/>
          <w:lang w:val="es-ES"/>
          <w14:textOutline w14:w="12700" w14:cap="flat" w14:cmpd="sng" w14:algn="ctr">
            <w14:noFill/>
            <w14:prstDash w14:val="solid"/>
            <w14:miter w14:lim="400000"/>
          </w14:textOutline>
        </w:rPr>
        <w:t xml:space="preserve">Ministru kabineta noteikumi Nr.774. Kontaktpersonu noteikšanas, primārās medicīniskās pārbaudes, laboratoriskās pārbaudes un medicīniskās novērošanas kārtība. </w:t>
      </w:r>
      <w:r>
        <w:rPr>
          <w:rStyle w:val="None"/>
          <w:sz w:val="18"/>
          <w:szCs w:val="18"/>
          <w:u w:color="000000"/>
          <w14:textOutline w14:w="12700" w14:cap="flat" w14:cmpd="sng" w14:algn="ctr">
            <w14:noFill/>
            <w14:prstDash w14:val="solid"/>
            <w14:miter w14:lim="400000"/>
          </w14:textOutline>
        </w:rPr>
        <w:t xml:space="preserve">Rīgā 2006.gada 19.septembrī. Pieejams: </w:t>
      </w:r>
      <w:hyperlink r:id="rId32" w:history="1">
        <w:r>
          <w:rPr>
            <w:rStyle w:val="Hyperlink0"/>
            <w:sz w:val="18"/>
            <w:szCs w:val="18"/>
            <w14:textOutline w14:w="12700" w14:cap="flat" w14:cmpd="sng" w14:algn="ctr">
              <w14:noFill/>
              <w14:prstDash w14:val="solid"/>
              <w14:miter w14:lim="400000"/>
            </w14:textOutline>
          </w:rPr>
          <w:t>https://likumi.lv/doc.php?id=144279</w:t>
        </w:r>
      </w:hyperlink>
    </w:p>
    <w:p w14:paraId="1D18B384"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Verorab. Zāļu apraksts. Latvijas Zāļu reģistrs. Zāļu Valsts aģentūra. 2022.gada 15.septembris. Pieejams: </w:t>
      </w:r>
      <w:hyperlink r:id="rId33" w:history="1">
        <w:r>
          <w:rPr>
            <w:rStyle w:val="Hyperlink1"/>
            <w:color w:val="4D4D4D"/>
            <w:sz w:val="18"/>
            <w:szCs w:val="18"/>
            <w:u w:color="4D4D4D"/>
            <w14:textOutline w14:w="12700" w14:cap="flat" w14:cmpd="sng" w14:algn="ctr">
              <w14:noFill/>
              <w14:prstDash w14:val="solid"/>
              <w14:miter w14:lim="400000"/>
            </w14:textOutline>
          </w:rPr>
          <w:t>https://dati.zva.gov.lv/zalu-registrs/info/95-0284?r=L3p2YWlzL3phbHUtcmVnaXN0cnMvP2lzcz0xJmFtcDtxPUowN0JH</w:t>
        </w:r>
      </w:hyperlink>
    </w:p>
    <w:p w14:paraId="57AB881F"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Brown C.M., DeMaria A. Clinical manifestations and diagnosis of rabies. UpToDate. Last updated: July 1, 2022. Pieejams: </w:t>
      </w:r>
      <w:hyperlink r:id="rId34" w:history="1">
        <w:r>
          <w:rPr>
            <w:rStyle w:val="Hyperlink1"/>
            <w:color w:val="4D4D4D"/>
            <w:sz w:val="18"/>
            <w:szCs w:val="18"/>
            <w:u w:color="4D4D4D"/>
            <w14:textOutline w14:w="12700" w14:cap="flat" w14:cmpd="sng" w14:algn="ctr">
              <w14:noFill/>
              <w14:prstDash w14:val="solid"/>
              <w14:miter w14:lim="400000"/>
            </w14:textOutline>
          </w:rPr>
          <w:t>https://www-uptodate-com.db.rsu.lv/contents/clinical-manifestations-and-diagnosis-of-rabies?search=rabies&amp;source=search_result&amp;selectedTitle=3~86&amp;usage_type=default&amp;display_rank=2</w:t>
        </w:r>
      </w:hyperlink>
      <w:r>
        <w:rPr>
          <w:rStyle w:val="None"/>
          <w:sz w:val="18"/>
          <w:szCs w:val="18"/>
          <w:u w:color="000000"/>
          <w14:textOutline w14:w="12700" w14:cap="flat" w14:cmpd="sng" w14:algn="ctr">
            <w14:noFill/>
            <w14:prstDash w14:val="solid"/>
            <w14:miter w14:lim="400000"/>
          </w14:textOutline>
        </w:rPr>
        <w:t xml:space="preserve"> </w:t>
      </w:r>
    </w:p>
    <w:p w14:paraId="6A91FDCD"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Brown C.M., DeMaria A. Indications for post-exposure and pre-exposure rabies prophylaxis. UpToDate. Last updated: October 10, 2022. Pieejams: </w:t>
      </w:r>
      <w:hyperlink r:id="rId35" w:history="1">
        <w:r>
          <w:rPr>
            <w:rStyle w:val="Hyperlink1"/>
            <w:color w:val="4D4D4D"/>
            <w:sz w:val="18"/>
            <w:szCs w:val="18"/>
            <w:u w:color="4D4D4D"/>
            <w14:textOutline w14:w="12700" w14:cap="flat" w14:cmpd="sng" w14:algn="ctr">
              <w14:noFill/>
              <w14:prstDash w14:val="solid"/>
              <w14:miter w14:lim="400000"/>
            </w14:textOutline>
          </w:rPr>
          <w:t>https://www-uptodate-com.db.rsu.lv/contents/indications-for-post-exposure-and-pre-exposure-rabies-prophylaxis?search=rabies&amp;source=search_result&amp;selectedTitle=4~86&amp;usage_type=default&amp;display_rank=3</w:t>
        </w:r>
      </w:hyperlink>
      <w:r>
        <w:rPr>
          <w:rStyle w:val="None"/>
          <w:sz w:val="18"/>
          <w:szCs w:val="18"/>
          <w:u w:color="000000"/>
          <w14:textOutline w14:w="12700" w14:cap="flat" w14:cmpd="sng" w14:algn="ctr">
            <w14:noFill/>
            <w14:prstDash w14:val="solid"/>
            <w14:miter w14:lim="400000"/>
          </w14:textOutline>
        </w:rPr>
        <w:t xml:space="preserve"> </w:t>
      </w:r>
    </w:p>
    <w:p w14:paraId="7DC29AEE"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Brown C.M., DeMaria A. Rabies immune globulin and vaccine. UpToDate. Last updated: November 22, 2022. Pieejams: </w:t>
      </w:r>
      <w:hyperlink r:id="rId36" w:history="1">
        <w:r>
          <w:rPr>
            <w:rStyle w:val="Hyperlink1"/>
            <w:color w:val="4D4D4D"/>
            <w:sz w:val="18"/>
            <w:szCs w:val="18"/>
            <w:u w:color="4D4D4D"/>
            <w14:textOutline w14:w="12700" w14:cap="flat" w14:cmpd="sng" w14:algn="ctr">
              <w14:noFill/>
              <w14:prstDash w14:val="solid"/>
              <w14:miter w14:lim="400000"/>
            </w14:textOutline>
          </w:rPr>
          <w:t>https://www-uptodate-com.db.rsu.lv/contents/rabies-immune-globulin-and-vaccine?search=rabies&amp;source=search_result&amp;selectedTitle=2~86&amp;usage_type=default&amp;display_rank=1</w:t>
        </w:r>
      </w:hyperlink>
      <w:r>
        <w:rPr>
          <w:rStyle w:val="None"/>
          <w:sz w:val="18"/>
          <w:szCs w:val="18"/>
          <w:u w:color="000000"/>
          <w14:textOutline w14:w="12700" w14:cap="flat" w14:cmpd="sng" w14:algn="ctr">
            <w14:noFill/>
            <w14:prstDash w14:val="solid"/>
            <w14:miter w14:lim="400000"/>
          </w14:textOutline>
        </w:rPr>
        <w:t xml:space="preserve"> </w:t>
      </w:r>
    </w:p>
    <w:p w14:paraId="2DBE8729"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Centers for Disease Control and Prevention. Morbidity and Mortality Weekly Report. Vol.59 No.13. April 9, 2010. Pieejams: </w:t>
      </w:r>
      <w:hyperlink r:id="rId37" w:history="1">
        <w:r>
          <w:rPr>
            <w:rStyle w:val="Hyperlink1"/>
            <w:color w:val="4D4D4D"/>
            <w:sz w:val="18"/>
            <w:szCs w:val="18"/>
            <w:u w:color="4D4D4D"/>
            <w14:textOutline w14:w="12700" w14:cap="flat" w14:cmpd="sng" w14:algn="ctr">
              <w14:noFill/>
              <w14:prstDash w14:val="solid"/>
              <w14:miter w14:lim="400000"/>
            </w14:textOutline>
          </w:rPr>
          <w:t>https://www.cdc.gov/mmwr/PDF/wk/mm5913.pdf</w:t>
        </w:r>
      </w:hyperlink>
      <w:r>
        <w:rPr>
          <w:rStyle w:val="None"/>
          <w:sz w:val="18"/>
          <w:szCs w:val="18"/>
          <w:u w:color="000000"/>
          <w14:textOutline w14:w="12700" w14:cap="flat" w14:cmpd="sng" w14:algn="ctr">
            <w14:noFill/>
            <w14:prstDash w14:val="solid"/>
            <w14:miter w14:lim="400000"/>
          </w14:textOutline>
        </w:rPr>
        <w:t xml:space="preserve"> </w:t>
      </w:r>
    </w:p>
    <w:p w14:paraId="0153FC8D"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Centers for Disease Control and Prevention. National Center for Emerging and Zoonotic Infectious Disease (NCEZID), Division of High-Consequence Pathogens and Pathology (DHCPP). Rabies. Last reviewed: December 8, 2022. Pieejams: </w:t>
      </w:r>
      <w:hyperlink r:id="rId38" w:history="1">
        <w:r>
          <w:rPr>
            <w:rStyle w:val="Hyperlink1"/>
            <w:color w:val="4D4D4D"/>
            <w:sz w:val="18"/>
            <w:szCs w:val="18"/>
            <w:u w:color="4D4D4D"/>
            <w14:textOutline w14:w="12700" w14:cap="flat" w14:cmpd="sng" w14:algn="ctr">
              <w14:noFill/>
              <w14:prstDash w14:val="solid"/>
              <w14:miter w14:lim="400000"/>
            </w14:textOutline>
          </w:rPr>
          <w:t>https://www.cdc.gov/rabies/index.html</w:t>
        </w:r>
      </w:hyperlink>
      <w:r>
        <w:rPr>
          <w:rStyle w:val="None"/>
          <w:sz w:val="18"/>
          <w:szCs w:val="18"/>
          <w:u w:color="000000"/>
          <w14:textOutline w14:w="12700" w14:cap="flat" w14:cmpd="sng" w14:algn="ctr">
            <w14:noFill/>
            <w14:prstDash w14:val="solid"/>
            <w14:miter w14:lim="400000"/>
          </w14:textOutline>
        </w:rPr>
        <w:t xml:space="preserve"> </w:t>
      </w:r>
    </w:p>
    <w:p w14:paraId="0E0C59BC"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Jackson A.C. Treatment of rabies. UpToDate. Last updated: January 29, 2021. Piejams: </w:t>
      </w:r>
      <w:hyperlink r:id="rId39" w:history="1">
        <w:r>
          <w:rPr>
            <w:rStyle w:val="Hyperlink1"/>
            <w:color w:val="4D4D4D"/>
            <w:sz w:val="18"/>
            <w:szCs w:val="18"/>
            <w:u w:color="4D4D4D"/>
            <w14:textOutline w14:w="12700" w14:cap="flat" w14:cmpd="sng" w14:algn="ctr">
              <w14:noFill/>
              <w14:prstDash w14:val="solid"/>
              <w14:miter w14:lim="400000"/>
            </w14:textOutline>
          </w:rPr>
          <w:t>https://www-uptodate-com.db.rsu.lv/contents/treatment-of-rabies?search=rabies&amp;source=search_result&amp;selectedTitle=5~86&amp;usage_type=default&amp;display_rank=4</w:t>
        </w:r>
      </w:hyperlink>
      <w:r>
        <w:rPr>
          <w:rStyle w:val="None"/>
          <w:sz w:val="18"/>
          <w:szCs w:val="18"/>
          <w:u w:color="000000"/>
          <w14:textOutline w14:w="12700" w14:cap="flat" w14:cmpd="sng" w14:algn="ctr">
            <w14:noFill/>
            <w14:prstDash w14:val="solid"/>
            <w14:miter w14:lim="400000"/>
          </w14:textOutline>
        </w:rPr>
        <w:t xml:space="preserve"> </w:t>
      </w:r>
    </w:p>
    <w:p w14:paraId="0ADB30BB"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Rabies and other lyssaviruses. Vaccines prevenatble diseases. Australian Immunisation Handbook. Australian Government Department of Health. Last updated 6 June 2018. Pieejams: </w:t>
      </w:r>
      <w:hyperlink r:id="rId40" w:anchor="overview" w:history="1">
        <w:r>
          <w:rPr>
            <w:rStyle w:val="Hyperlink1"/>
            <w:color w:val="4D4D4D"/>
            <w:sz w:val="18"/>
            <w:szCs w:val="18"/>
            <w:u w:color="4D4D4D"/>
            <w14:textOutline w14:w="12700" w14:cap="flat" w14:cmpd="sng" w14:algn="ctr">
              <w14:noFill/>
              <w14:prstDash w14:val="solid"/>
              <w14:miter w14:lim="400000"/>
            </w14:textOutline>
          </w:rPr>
          <w:t>https://immunisationhandbook.health.gov.au/contents/vaccine-preventable-diseases/rabies-and-other-lyssaviruses#overview</w:t>
        </w:r>
      </w:hyperlink>
      <w:r>
        <w:rPr>
          <w:rStyle w:val="None"/>
          <w:sz w:val="18"/>
          <w:szCs w:val="18"/>
          <w:u w:color="000000"/>
          <w14:textOutline w14:w="12700" w14:cap="flat" w14:cmpd="sng" w14:algn="ctr">
            <w14:noFill/>
            <w14:prstDash w14:val="solid"/>
            <w14:miter w14:lim="400000"/>
          </w14:textOutline>
        </w:rPr>
        <w:t xml:space="preserve"> </w:t>
      </w:r>
    </w:p>
    <w:p w14:paraId="15E93417"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Rao A. K., et al. </w:t>
      </w:r>
      <w:r>
        <w:rPr>
          <w:color w:val="4D4D4D"/>
          <w:sz w:val="18"/>
          <w:szCs w:val="18"/>
          <w:u w:color="4D4D4D"/>
          <w14:textOutline w14:w="12700" w14:cap="flat" w14:cmpd="sng" w14:algn="ctr">
            <w14:noFill/>
            <w14:prstDash w14:val="solid"/>
            <w14:miter w14:lim="400000"/>
          </w14:textOutline>
        </w:rPr>
        <w:t xml:space="preserve">Use of a Modified Preexposure Prophylaxis Vaccination Schedule to Prevent Human Rabies: Recommendations of the Advisory Committee on Immunization Practices — United States, 2022. MMWR Morb Mortal Wkly Rep 2022;71:619–627. Pieejams: </w:t>
      </w:r>
    </w:p>
    <w:p w14:paraId="2E801064"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sidRPr="0021328C">
        <w:rPr>
          <w:rStyle w:val="None"/>
          <w:sz w:val="18"/>
          <w:szCs w:val="18"/>
          <w:u w:color="000000"/>
          <w:lang w:val="fr-FR"/>
          <w14:textOutline w14:w="12700" w14:cap="flat" w14:cmpd="sng" w14:algn="ctr">
            <w14:noFill/>
            <w14:prstDash w14:val="solid"/>
            <w14:miter w14:lim="400000"/>
          </w14:textOutline>
        </w:rPr>
        <w:t xml:space="preserve">Rupprecht C.E., et al. </w:t>
      </w:r>
      <w:r>
        <w:rPr>
          <w:rStyle w:val="None"/>
          <w:sz w:val="18"/>
          <w:szCs w:val="18"/>
          <w:u w:color="000000"/>
          <w14:textOutline w14:w="12700" w14:cap="flat" w14:cmpd="sng" w14:algn="ctr">
            <w14:noFill/>
            <w14:prstDash w14:val="solid"/>
            <w14:miter w14:lim="400000"/>
          </w14:textOutline>
        </w:rPr>
        <w:t xml:space="preserve">Use of a Reduced (4-Dose) Vaccine Schedule for Postexposure Prophylaxis to Prevent Human Rabies: Recommendations of the Advisory Committee on Immunization Practices. Centres for Disease Control and Prevention. Morbidity and Mortality Weekly Report (MMWR). March 19, 2010 / 59(RR02);1-9. Pieejams: </w:t>
      </w:r>
      <w:hyperlink r:id="rId41" w:history="1">
        <w:r>
          <w:rPr>
            <w:rStyle w:val="Hyperlink1"/>
            <w:color w:val="4D4D4D"/>
            <w:sz w:val="18"/>
            <w:szCs w:val="18"/>
            <w:u w:color="4D4D4D"/>
            <w14:textOutline w14:w="12700" w14:cap="flat" w14:cmpd="sng" w14:algn="ctr">
              <w14:noFill/>
              <w14:prstDash w14:val="solid"/>
              <w14:miter w14:lim="400000"/>
            </w14:textOutline>
          </w:rPr>
          <w:t>https://www.cdc.gov/mmwr/preview/mmwrhtml/rr5902a1.htm</w:t>
        </w:r>
      </w:hyperlink>
      <w:r>
        <w:rPr>
          <w:rStyle w:val="None"/>
          <w:sz w:val="18"/>
          <w:szCs w:val="18"/>
          <w:u w:color="000000"/>
          <w14:textOutline w14:w="12700" w14:cap="flat" w14:cmpd="sng" w14:algn="ctr">
            <w14:noFill/>
            <w14:prstDash w14:val="solid"/>
            <w14:miter w14:lim="400000"/>
          </w14:textOutline>
        </w:rPr>
        <w:t xml:space="preserve"> </w:t>
      </w:r>
    </w:p>
    <w:p w14:paraId="020186BD"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World Health Organization expert consultation on rabies, third report. WHO technical report series, No.1012. ISBN 978-92-4-121021-8. ISSN 0512-3054. Pieejams: </w:t>
      </w:r>
      <w:hyperlink r:id="rId42" w:history="1">
        <w:r>
          <w:rPr>
            <w:rStyle w:val="Hyperlink1"/>
            <w:color w:val="4D4D4D"/>
            <w:sz w:val="18"/>
            <w:szCs w:val="18"/>
            <w:u w:color="4D4D4D"/>
            <w14:textOutline w14:w="12700" w14:cap="flat" w14:cmpd="sng" w14:algn="ctr">
              <w14:noFill/>
              <w14:prstDash w14:val="solid"/>
              <w14:miter w14:lim="400000"/>
            </w14:textOutline>
          </w:rPr>
          <w:t>https://apps.who.int/iris/bitstream/handle/10665/272364/9789241210218-eng.pdf?sequence=1&amp;isAllowed=y</w:t>
        </w:r>
      </w:hyperlink>
      <w:r>
        <w:rPr>
          <w:rStyle w:val="None"/>
          <w:sz w:val="18"/>
          <w:szCs w:val="18"/>
          <w:u w:color="000000"/>
          <w14:textOutline w14:w="12700" w14:cap="flat" w14:cmpd="sng" w14:algn="ctr">
            <w14:noFill/>
            <w14:prstDash w14:val="solid"/>
            <w14:miter w14:lim="400000"/>
          </w14:textOutline>
        </w:rPr>
        <w:t xml:space="preserve"> </w:t>
      </w:r>
    </w:p>
    <w:p w14:paraId="0F9AB78C"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lastRenderedPageBreak/>
        <w:t xml:space="preserve">World Health Organization. Rupprechy, Charles E, Fooks, Anthony R &amp; Abela-Ridder, Bernadette. Laboratory techniques in rabies, Volume 1, 5th edition. 2018. Pieejams: </w:t>
      </w:r>
      <w:hyperlink r:id="rId43" w:history="1">
        <w:r>
          <w:rPr>
            <w:rStyle w:val="Hyperlink1"/>
            <w:color w:val="4D4D4D"/>
            <w:sz w:val="18"/>
            <w:szCs w:val="18"/>
            <w:u w:color="4D4D4D"/>
            <w14:textOutline w14:w="12700" w14:cap="flat" w14:cmpd="sng" w14:algn="ctr">
              <w14:noFill/>
              <w14:prstDash w14:val="solid"/>
              <w14:miter w14:lim="400000"/>
            </w14:textOutline>
          </w:rPr>
          <w:t>https://apps.who.int/iris/bitstream/handle/10665/310836/9789241515153-eng.pdf?sequence=1&amp;isAllowed=y</w:t>
        </w:r>
      </w:hyperlink>
      <w:r>
        <w:rPr>
          <w:rStyle w:val="None"/>
          <w:sz w:val="18"/>
          <w:szCs w:val="18"/>
          <w:u w:color="000000"/>
          <w14:textOutline w14:w="12700" w14:cap="flat" w14:cmpd="sng" w14:algn="ctr">
            <w14:noFill/>
            <w14:prstDash w14:val="solid"/>
            <w14:miter w14:lim="400000"/>
          </w14:textOutline>
        </w:rPr>
        <w:t xml:space="preserve"> </w:t>
      </w:r>
    </w:p>
    <w:p w14:paraId="3D803E81"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World Health Organization Weekly Epidemiological Record, 2018, vol.93, 16 [full issue]. Pieejams: </w:t>
      </w:r>
      <w:hyperlink r:id="rId44" w:history="1">
        <w:r>
          <w:rPr>
            <w:rStyle w:val="Hyperlink1"/>
            <w:color w:val="4D4D4D"/>
            <w:sz w:val="18"/>
            <w:szCs w:val="18"/>
            <w:u w:color="4D4D4D"/>
            <w14:textOutline w14:w="12700" w14:cap="flat" w14:cmpd="sng" w14:algn="ctr">
              <w14:noFill/>
              <w14:prstDash w14:val="solid"/>
              <w14:miter w14:lim="400000"/>
            </w14:textOutline>
          </w:rPr>
          <w:t>https://apps.who.int/iris/handle/10665/272371</w:t>
        </w:r>
      </w:hyperlink>
      <w:r>
        <w:rPr>
          <w:rStyle w:val="None"/>
          <w:sz w:val="18"/>
          <w:szCs w:val="18"/>
          <w:u w:color="000000"/>
          <w14:textOutline w14:w="12700" w14:cap="flat" w14:cmpd="sng" w14:algn="ctr">
            <w14:noFill/>
            <w14:prstDash w14:val="solid"/>
            <w14:miter w14:lim="400000"/>
          </w14:textOutline>
        </w:rPr>
        <w:t xml:space="preserve"> </w:t>
      </w:r>
    </w:p>
    <w:p w14:paraId="7BEABC61" w14:textId="77777777" w:rsidR="00137DF8" w:rsidRDefault="0024621C">
      <w:pPr>
        <w:pStyle w:val="Default"/>
        <w:numPr>
          <w:ilvl w:val="0"/>
          <w:numId w:val="2"/>
        </w:numPr>
        <w:spacing w:after="160" w:line="288" w:lineRule="auto"/>
        <w:jc w:val="both"/>
        <w:outlineLvl w:val="0"/>
        <w:rPr>
          <w:rFonts w:hint="eastAsia"/>
          <w:color w:val="4D4D4D"/>
          <w:sz w:val="18"/>
          <w:szCs w:val="18"/>
          <w:u w:color="4D4D4D"/>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t xml:space="preserve">Rao A.G., et al. Ude of a Modified Preexposure Prophylaxis Vaccination Schedule to Prevent Human Rabies: Recommendations of the Advisory Committee on Immunization Practices - United States, 2022. Pieejams: </w:t>
      </w:r>
      <w:hyperlink r:id="rId45" w:history="1">
        <w:r>
          <w:rPr>
            <w:rStyle w:val="Hyperlink1"/>
            <w:color w:val="4D4D4D"/>
            <w:sz w:val="18"/>
            <w:szCs w:val="18"/>
            <w:u w:color="4D4D4D"/>
            <w14:textOutline w14:w="12700" w14:cap="flat" w14:cmpd="sng" w14:algn="ctr">
              <w14:noFill/>
              <w14:prstDash w14:val="solid"/>
              <w14:miter w14:lim="400000"/>
            </w14:textOutline>
          </w:rPr>
          <w:t>https://www.cdc.gov/mmwr/volumes/71/wr/pdfs/mm7118-h.pdf</w:t>
        </w:r>
      </w:hyperlink>
      <w:r>
        <w:rPr>
          <w:rStyle w:val="None"/>
          <w:sz w:val="18"/>
          <w:szCs w:val="18"/>
          <w:u w:color="000000"/>
          <w14:textOutline w14:w="12700" w14:cap="flat" w14:cmpd="sng" w14:algn="ctr">
            <w14:noFill/>
            <w14:prstDash w14:val="solid"/>
            <w14:miter w14:lim="400000"/>
          </w14:textOutline>
        </w:rPr>
        <w:t xml:space="preserve"> </w:t>
      </w:r>
    </w:p>
    <w:p w14:paraId="7749D1C4"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66014835"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5A3C0AC5"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4C760886"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6731D82A"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7E3EBB24"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479E45E5"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1DEC38BC"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0A495646"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3A7F63F7"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442ADED6"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3BB384FE"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7101E886"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71425E3A"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1A25D986"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3916A64C"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34F6896D"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7102EFF0"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18BBC61F"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76AC5785" w14:textId="77777777" w:rsidR="00137DF8" w:rsidRDefault="00137DF8">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4CA6755D"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28F147EE"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4B613274"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6AD9606F"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3055696D"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57BA520A"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21EA2280" w14:textId="77777777" w:rsidR="0052012E" w:rsidRDefault="0052012E">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p>
    <w:p w14:paraId="2E3A4C50" w14:textId="77777777" w:rsidR="00137DF8" w:rsidRDefault="0024621C">
      <w:pPr>
        <w:pStyle w:val="Default"/>
        <w:spacing w:after="160" w:line="288" w:lineRule="auto"/>
        <w:jc w:val="both"/>
        <w:outlineLvl w:val="0"/>
        <w:rPr>
          <w:rStyle w:val="None"/>
          <w:rFonts w:hint="eastAsia"/>
          <w:b/>
          <w:bCs/>
          <w:sz w:val="18"/>
          <w:szCs w:val="18"/>
          <w:u w:color="000000"/>
          <w14:textOutline w14:w="12700" w14:cap="flat" w14:cmpd="sng" w14:algn="ctr">
            <w14:noFill/>
            <w14:prstDash w14:val="solid"/>
            <w14:miter w14:lim="400000"/>
          </w14:textOutline>
        </w:rPr>
      </w:pPr>
      <w:r>
        <w:rPr>
          <w:rStyle w:val="None"/>
          <w:b/>
          <w:bCs/>
          <w:sz w:val="18"/>
          <w:szCs w:val="18"/>
          <w:u w:color="000000"/>
          <w14:textOutline w14:w="12700" w14:cap="flat" w14:cmpd="sng" w14:algn="ctr">
            <w14:noFill/>
            <w14:prstDash w14:val="solid"/>
            <w14:miter w14:lim="400000"/>
          </w14:textOutline>
        </w:rPr>
        <w:lastRenderedPageBreak/>
        <w:t>Pielikumi</w:t>
      </w:r>
    </w:p>
    <w:p w14:paraId="0D8E5B4D" w14:textId="77777777" w:rsidR="00137DF8" w:rsidRDefault="0052012E">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r>
        <w:rPr>
          <w:rStyle w:val="None"/>
          <w:b/>
          <w:bCs/>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8480" behindDoc="0" locked="0" layoutInCell="1" allowOverlap="1" wp14:anchorId="6D7ED0D7" wp14:editId="351EAC6F">
            <wp:simplePos x="0" y="0"/>
            <wp:positionH relativeFrom="margin">
              <wp:align>right</wp:align>
            </wp:positionH>
            <wp:positionV relativeFrom="line">
              <wp:posOffset>366478</wp:posOffset>
            </wp:positionV>
            <wp:extent cx="6184900" cy="2493912"/>
            <wp:effectExtent l="0" t="0" r="6350" b="1905"/>
            <wp:wrapThrough wrapText="bothSides" distL="152400" distR="152400">
              <wp:wrapPolygon edited="1">
                <wp:start x="0" y="0"/>
                <wp:lineTo x="21600" y="0"/>
                <wp:lineTo x="21600" y="21605"/>
                <wp:lineTo x="0" y="21605"/>
                <wp:lineTo x="0" y="0"/>
              </wp:wrapPolygon>
            </wp:wrapThrough>
            <wp:docPr id="1073741841" name="officeArt object" descr="Image"/>
            <wp:cNvGraphicFramePr/>
            <a:graphic xmlns:a="http://schemas.openxmlformats.org/drawingml/2006/main">
              <a:graphicData uri="http://schemas.openxmlformats.org/drawingml/2006/picture">
                <pic:pic xmlns:pic="http://schemas.openxmlformats.org/drawingml/2006/picture">
                  <pic:nvPicPr>
                    <pic:cNvPr id="1073741841" name="Image" descr="Image"/>
                    <pic:cNvPicPr>
                      <a:picLocks noChangeAspect="1"/>
                    </pic:cNvPicPr>
                  </pic:nvPicPr>
                  <pic:blipFill>
                    <a:blip r:embed="rId46"/>
                    <a:stretch>
                      <a:fillRect/>
                    </a:stretch>
                  </pic:blipFill>
                  <pic:spPr>
                    <a:xfrm>
                      <a:off x="0" y="0"/>
                      <a:ext cx="6184900" cy="2493912"/>
                    </a:xfrm>
                    <a:prstGeom prst="rect">
                      <a:avLst/>
                    </a:prstGeom>
                    <a:ln w="12700" cap="flat">
                      <a:noFill/>
                      <a:miter lim="400000"/>
                    </a:ln>
                    <a:effectLst/>
                  </pic:spPr>
                </pic:pic>
              </a:graphicData>
            </a:graphic>
          </wp:anchor>
        </w:drawing>
      </w:r>
      <w:r>
        <w:rPr>
          <w:rStyle w:val="None"/>
          <w:sz w:val="18"/>
          <w:szCs w:val="18"/>
          <w:u w:color="000000"/>
          <w14:textOutline w14:w="12700" w14:cap="flat" w14:cmpd="sng" w14:algn="ctr">
            <w14:noFill/>
            <w14:prstDash w14:val="solid"/>
            <w14:miter w14:lim="400000"/>
          </w14:textOutline>
        </w:rPr>
        <w:t>1. pielikums. Normatīvie dokumenti</w:t>
      </w:r>
      <w:r>
        <w:rPr>
          <w:rStyle w:val="None"/>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69504" behindDoc="0" locked="0" layoutInCell="1" allowOverlap="1" wp14:anchorId="74CA008D" wp14:editId="04842673">
            <wp:simplePos x="0" y="0"/>
            <wp:positionH relativeFrom="margin">
              <wp:posOffset>-6349</wp:posOffset>
            </wp:positionH>
            <wp:positionV relativeFrom="line">
              <wp:posOffset>2687855</wp:posOffset>
            </wp:positionV>
            <wp:extent cx="6184900" cy="3481501"/>
            <wp:effectExtent l="0" t="0" r="0" b="0"/>
            <wp:wrapThrough wrapText="bothSides" distL="152400" distR="152400">
              <wp:wrapPolygon edited="1">
                <wp:start x="0" y="0"/>
                <wp:lineTo x="21600" y="0"/>
                <wp:lineTo x="21600" y="21622"/>
                <wp:lineTo x="0" y="21622"/>
                <wp:lineTo x="0" y="0"/>
              </wp:wrapPolygon>
            </wp:wrapThrough>
            <wp:docPr id="1073741842" name="officeArt object" descr="Image"/>
            <wp:cNvGraphicFramePr/>
            <a:graphic xmlns:a="http://schemas.openxmlformats.org/drawingml/2006/main">
              <a:graphicData uri="http://schemas.openxmlformats.org/drawingml/2006/picture">
                <pic:pic xmlns:pic="http://schemas.openxmlformats.org/drawingml/2006/picture">
                  <pic:nvPicPr>
                    <pic:cNvPr id="1073741842" name="Image" descr="Image"/>
                    <pic:cNvPicPr>
                      <a:picLocks noChangeAspect="1"/>
                    </pic:cNvPicPr>
                  </pic:nvPicPr>
                  <pic:blipFill>
                    <a:blip r:embed="rId47"/>
                    <a:stretch>
                      <a:fillRect/>
                    </a:stretch>
                  </pic:blipFill>
                  <pic:spPr>
                    <a:xfrm>
                      <a:off x="0" y="0"/>
                      <a:ext cx="6184900" cy="3481501"/>
                    </a:xfrm>
                    <a:prstGeom prst="rect">
                      <a:avLst/>
                    </a:prstGeom>
                    <a:ln w="12700" cap="flat">
                      <a:noFill/>
                      <a:miter lim="400000"/>
                    </a:ln>
                    <a:effectLst/>
                  </pic:spPr>
                </pic:pic>
              </a:graphicData>
            </a:graphic>
          </wp:anchor>
        </w:drawing>
      </w:r>
      <w:r>
        <w:rPr>
          <w:rStyle w:val="None"/>
          <w:noProof/>
          <w:sz w:val="18"/>
          <w:szCs w:val="18"/>
          <w:u w:color="000000"/>
          <w:lang w:val="lv-LV"/>
          <w14:textOutline w14:w="12700" w14:cap="flat" w14:cmpd="sng" w14:algn="ctr">
            <w14:noFill/>
            <w14:prstDash w14:val="solid"/>
            <w14:miter w14:lim="400000"/>
          </w14:textOutline>
        </w:rPr>
        <w:drawing>
          <wp:anchor distT="152400" distB="152400" distL="152400" distR="152400" simplePos="0" relativeHeight="251670528" behindDoc="0" locked="0" layoutInCell="1" allowOverlap="1" wp14:anchorId="5CC3BBC1" wp14:editId="5C06BADF">
            <wp:simplePos x="0" y="0"/>
            <wp:positionH relativeFrom="margin">
              <wp:posOffset>-6349</wp:posOffset>
            </wp:positionH>
            <wp:positionV relativeFrom="line">
              <wp:posOffset>6259908</wp:posOffset>
            </wp:positionV>
            <wp:extent cx="6184900" cy="1699591"/>
            <wp:effectExtent l="0" t="0" r="0" b="0"/>
            <wp:wrapThrough wrapText="bothSides" distL="152400" distR="152400">
              <wp:wrapPolygon edited="1">
                <wp:start x="0" y="0"/>
                <wp:lineTo x="21600" y="0"/>
                <wp:lineTo x="21600" y="21647"/>
                <wp:lineTo x="0" y="21647"/>
                <wp:lineTo x="0" y="0"/>
              </wp:wrapPolygon>
            </wp:wrapThrough>
            <wp:docPr id="1073741843" name="officeArt object" descr="Image"/>
            <wp:cNvGraphicFramePr/>
            <a:graphic xmlns:a="http://schemas.openxmlformats.org/drawingml/2006/main">
              <a:graphicData uri="http://schemas.openxmlformats.org/drawingml/2006/picture">
                <pic:pic xmlns:pic="http://schemas.openxmlformats.org/drawingml/2006/picture">
                  <pic:nvPicPr>
                    <pic:cNvPr id="1073741843" name="Image" descr="Image"/>
                    <pic:cNvPicPr>
                      <a:picLocks noChangeAspect="1"/>
                    </pic:cNvPicPr>
                  </pic:nvPicPr>
                  <pic:blipFill>
                    <a:blip r:embed="rId48"/>
                    <a:stretch>
                      <a:fillRect/>
                    </a:stretch>
                  </pic:blipFill>
                  <pic:spPr>
                    <a:xfrm>
                      <a:off x="0" y="0"/>
                      <a:ext cx="6184900" cy="1699591"/>
                    </a:xfrm>
                    <a:prstGeom prst="rect">
                      <a:avLst/>
                    </a:prstGeom>
                    <a:ln w="12700" cap="flat">
                      <a:noFill/>
                      <a:miter lim="400000"/>
                    </a:ln>
                    <a:effectLst/>
                  </pic:spPr>
                </pic:pic>
              </a:graphicData>
            </a:graphic>
          </wp:anchor>
        </w:drawing>
      </w:r>
    </w:p>
    <w:p w14:paraId="29516254" w14:textId="77777777" w:rsidR="00A96979" w:rsidRDefault="00A96979">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323603B0" w14:textId="77777777" w:rsidR="00137DF8" w:rsidRDefault="0024621C">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lastRenderedPageBreak/>
        <w:t>2. pielikums. Normatīvie dokumenti</w:t>
      </w:r>
    </w:p>
    <w:p w14:paraId="5D38423D" w14:textId="77777777" w:rsidR="00137DF8" w:rsidRPr="0021328C" w:rsidRDefault="0024621C">
      <w:pPr>
        <w:pStyle w:val="Default"/>
        <w:spacing w:after="160" w:line="288" w:lineRule="auto"/>
        <w:jc w:val="right"/>
        <w:outlineLvl w:val="0"/>
        <w:rPr>
          <w:rStyle w:val="None"/>
          <w:rFonts w:hint="eastAsia"/>
          <w:sz w:val="18"/>
          <w:szCs w:val="18"/>
          <w:u w:color="000000"/>
          <w:lang w:val="es-ES"/>
          <w14:textOutline w14:w="12700" w14:cap="flat" w14:cmpd="sng" w14:algn="ctr">
            <w14:noFill/>
            <w14:prstDash w14:val="solid"/>
            <w14:miter w14:lim="400000"/>
          </w14:textOutline>
        </w:rPr>
      </w:pPr>
      <w:r w:rsidRPr="0021328C">
        <w:rPr>
          <w:rStyle w:val="None"/>
          <w:sz w:val="18"/>
          <w:szCs w:val="18"/>
          <w:u w:color="000000"/>
          <w:lang w:val="es-ES"/>
          <w14:textOutline w14:w="12700" w14:cap="flat" w14:cmpd="sng" w14:algn="ctr">
            <w14:noFill/>
            <w14:prstDash w14:val="solid"/>
            <w14:miter w14:lim="400000"/>
          </w14:textOutline>
        </w:rPr>
        <w:t>19. pielikums</w:t>
      </w:r>
      <w:r w:rsidR="0052012E" w:rsidRPr="0021328C">
        <w:rPr>
          <w:rStyle w:val="None"/>
          <w:sz w:val="18"/>
          <w:szCs w:val="18"/>
          <w:u w:color="000000"/>
          <w:lang w:val="es-ES"/>
          <w14:textOutline w14:w="12700" w14:cap="flat" w14:cmpd="sng" w14:algn="ctr">
            <w14:noFill/>
            <w14:prstDash w14:val="solid"/>
            <w14:miter w14:lim="400000"/>
          </w14:textOutline>
        </w:rPr>
        <w:t xml:space="preserve"> </w:t>
      </w:r>
      <w:r w:rsidRPr="0021328C">
        <w:rPr>
          <w:rStyle w:val="None"/>
          <w:sz w:val="18"/>
          <w:szCs w:val="18"/>
          <w:u w:color="000000"/>
          <w:lang w:val="es-ES"/>
          <w14:textOutline w14:w="12700" w14:cap="flat" w14:cmpd="sng" w14:algn="ctr">
            <w14:noFill/>
            <w14:prstDash w14:val="solid"/>
            <w14:miter w14:lim="400000"/>
          </w14:textOutline>
        </w:rPr>
        <w:t>Ministru kabineta</w:t>
      </w:r>
      <w:r w:rsidR="0052012E" w:rsidRPr="0021328C">
        <w:rPr>
          <w:rStyle w:val="None"/>
          <w:sz w:val="18"/>
          <w:szCs w:val="18"/>
          <w:u w:color="000000"/>
          <w:lang w:val="es-ES"/>
          <w14:textOutline w14:w="12700" w14:cap="flat" w14:cmpd="sng" w14:algn="ctr">
            <w14:noFill/>
            <w14:prstDash w14:val="solid"/>
            <w14:miter w14:lim="400000"/>
          </w14:textOutline>
        </w:rPr>
        <w:t xml:space="preserve"> </w:t>
      </w:r>
      <w:r w:rsidRPr="0021328C">
        <w:rPr>
          <w:rStyle w:val="None"/>
          <w:sz w:val="18"/>
          <w:szCs w:val="18"/>
          <w:u w:color="000000"/>
          <w:lang w:val="es-ES"/>
          <w14:textOutline w14:w="12700" w14:cap="flat" w14:cmpd="sng" w14:algn="ctr">
            <w14:noFill/>
            <w14:prstDash w14:val="solid"/>
            <w14:miter w14:lim="400000"/>
          </w14:textOutline>
        </w:rPr>
        <w:t xml:space="preserve">2006. gada 4. </w:t>
      </w:r>
      <w:r w:rsidR="0052012E" w:rsidRPr="0021328C">
        <w:rPr>
          <w:rStyle w:val="None"/>
          <w:sz w:val="18"/>
          <w:szCs w:val="18"/>
          <w:u w:color="000000"/>
          <w:lang w:val="es-ES"/>
          <w14:textOutline w14:w="12700" w14:cap="flat" w14:cmpd="sng" w14:algn="ctr">
            <w14:noFill/>
            <w14:prstDash w14:val="solid"/>
            <w14:miter w14:lim="400000"/>
          </w14:textOutline>
        </w:rPr>
        <w:t>a</w:t>
      </w:r>
      <w:r w:rsidRPr="0021328C">
        <w:rPr>
          <w:rStyle w:val="None"/>
          <w:sz w:val="18"/>
          <w:szCs w:val="18"/>
          <w:u w:color="000000"/>
          <w:lang w:val="es-ES"/>
          <w14:textOutline w14:w="12700" w14:cap="flat" w14:cmpd="sng" w14:algn="ctr">
            <w14:noFill/>
            <w14:prstDash w14:val="solid"/>
            <w14:miter w14:lim="400000"/>
          </w14:textOutline>
        </w:rPr>
        <w:t>prīļa</w:t>
      </w:r>
      <w:r w:rsidR="0052012E" w:rsidRPr="0021328C">
        <w:rPr>
          <w:rStyle w:val="None"/>
          <w:sz w:val="18"/>
          <w:szCs w:val="18"/>
          <w:u w:color="000000"/>
          <w:lang w:val="es-ES"/>
          <w14:textOutline w14:w="12700" w14:cap="flat" w14:cmpd="sng" w14:algn="ctr">
            <w14:noFill/>
            <w14:prstDash w14:val="solid"/>
            <w14:miter w14:lim="400000"/>
          </w14:textOutline>
        </w:rPr>
        <w:t xml:space="preserve"> </w:t>
      </w:r>
      <w:r w:rsidRPr="0021328C">
        <w:rPr>
          <w:rStyle w:val="None"/>
          <w:sz w:val="18"/>
          <w:szCs w:val="18"/>
          <w:u w:color="000000"/>
          <w:lang w:val="es-ES"/>
          <w14:textOutline w14:w="12700" w14:cap="flat" w14:cmpd="sng" w14:algn="ctr">
            <w14:noFill/>
            <w14:prstDash w14:val="solid"/>
            <w14:miter w14:lim="400000"/>
          </w14:textOutline>
        </w:rPr>
        <w:t>noteikumiem Nr. 265</w:t>
      </w:r>
    </w:p>
    <w:p w14:paraId="52520D0E" w14:textId="77777777" w:rsidR="00137DF8" w:rsidRDefault="0024621C">
      <w:pPr>
        <w:pStyle w:val="Default"/>
        <w:spacing w:after="160" w:line="288" w:lineRule="auto"/>
        <w:outlineLvl w:val="0"/>
        <w:rPr>
          <w:rStyle w:val="None"/>
          <w:rFonts w:hint="eastAsia"/>
          <w:i/>
          <w:iCs/>
          <w:sz w:val="18"/>
          <w:szCs w:val="18"/>
          <w:u w:color="000000"/>
          <w14:textOutline w14:w="12700" w14:cap="flat" w14:cmpd="sng" w14:algn="ctr">
            <w14:noFill/>
            <w14:prstDash w14:val="solid"/>
            <w14:miter w14:lim="400000"/>
          </w14:textOutline>
        </w:rPr>
      </w:pPr>
      <w:r>
        <w:rPr>
          <w:rStyle w:val="None"/>
          <w:i/>
          <w:iCs/>
          <w:sz w:val="18"/>
          <w:szCs w:val="18"/>
          <w:u w:color="000000"/>
          <w14:textOutline w14:w="12700" w14:cap="flat" w14:cmpd="sng" w14:algn="ctr">
            <w14:noFill/>
            <w14:prstDash w14:val="solid"/>
            <w14:miter w14:lim="400000"/>
          </w14:textOutline>
        </w:rPr>
        <w:t>(Pielikums grozīts ar MK 20.09.2011. noteikumiem Nr.713)</w:t>
      </w:r>
    </w:p>
    <w:tbl>
      <w:tblPr>
        <w:tblW w:w="97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75"/>
        <w:gridCol w:w="545"/>
        <w:gridCol w:w="716"/>
        <w:gridCol w:w="561"/>
        <w:gridCol w:w="168"/>
        <w:gridCol w:w="189"/>
        <w:gridCol w:w="721"/>
        <w:gridCol w:w="1447"/>
        <w:gridCol w:w="1069"/>
        <w:gridCol w:w="2549"/>
      </w:tblGrid>
      <w:tr w:rsidR="00137DF8" w14:paraId="0F928027" w14:textId="77777777">
        <w:trPr>
          <w:trHeight w:val="328"/>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30CBA555" w14:textId="77777777" w:rsidR="00137DF8" w:rsidRPr="0052012E" w:rsidRDefault="0024621C">
            <w:pPr>
              <w:pStyle w:val="Heading2"/>
              <w:keepNext/>
              <w:jc w:val="center"/>
              <w:rPr>
                <w:rFonts w:hint="eastAsia"/>
                <w:sz w:val="24"/>
                <w:szCs w:val="24"/>
              </w:rPr>
            </w:pPr>
            <w:r w:rsidRPr="0052012E">
              <w:rPr>
                <w:rStyle w:val="None"/>
                <w:rFonts w:ascii="Times New Roman" w:hAnsi="Times New Roman"/>
                <w:b/>
                <w:bCs/>
                <w:caps w:val="0"/>
                <w:color w:val="000000"/>
                <w:spacing w:val="0"/>
                <w:sz w:val="24"/>
                <w:szCs w:val="24"/>
                <w:u w:color="000000"/>
              </w:rPr>
              <w:t>Antirabiskās palīdzības karte</w:t>
            </w:r>
          </w:p>
        </w:tc>
      </w:tr>
      <w:tr w:rsidR="00137DF8" w14:paraId="16942D63" w14:textId="77777777">
        <w:trPr>
          <w:trHeight w:val="630"/>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024B1C95" w14:textId="77777777" w:rsidR="00137DF8" w:rsidRPr="0052012E" w:rsidRDefault="0024621C">
            <w:pPr>
              <w:pStyle w:val="Default"/>
              <w:jc w:val="center"/>
              <w:rPr>
                <w:rFonts w:hint="eastAsia"/>
                <w:sz w:val="24"/>
                <w:szCs w:val="24"/>
              </w:rPr>
            </w:pPr>
            <w:r w:rsidRPr="0052012E">
              <w:rPr>
                <w:rStyle w:val="None"/>
                <w:rFonts w:ascii="Times New Roman" w:hAnsi="Times New Roman"/>
                <w:sz w:val="24"/>
                <w:szCs w:val="24"/>
                <w:u w:color="000000"/>
              </w:rPr>
              <w:t>(veidlapa Nr.045/u)</w:t>
            </w:r>
          </w:p>
        </w:tc>
      </w:tr>
      <w:tr w:rsidR="00137DF8" w:rsidRPr="0052012E" w14:paraId="411B42A7" w14:textId="77777777">
        <w:trPr>
          <w:trHeight w:val="525"/>
        </w:trPr>
        <w:tc>
          <w:tcPr>
            <w:tcW w:w="9740" w:type="dxa"/>
            <w:gridSpan w:val="10"/>
            <w:tcBorders>
              <w:top w:val="nil"/>
              <w:left w:val="nil"/>
              <w:bottom w:val="single" w:sz="4" w:space="0" w:color="000000"/>
              <w:right w:val="nil"/>
            </w:tcBorders>
            <w:shd w:val="clear" w:color="auto" w:fill="auto"/>
            <w:tcMar>
              <w:top w:w="80" w:type="dxa"/>
              <w:left w:w="80" w:type="dxa"/>
              <w:bottom w:w="80" w:type="dxa"/>
              <w:right w:w="80" w:type="dxa"/>
            </w:tcMar>
          </w:tcPr>
          <w:p w14:paraId="4D9DFDB7" w14:textId="77777777" w:rsidR="00137DF8" w:rsidRPr="0052012E" w:rsidRDefault="0024621C">
            <w:pPr>
              <w:pStyle w:val="Default"/>
              <w:keepNext/>
              <w:outlineLvl w:val="0"/>
              <w:rPr>
                <w:rFonts w:hint="eastAsia"/>
              </w:rPr>
            </w:pPr>
            <w:r w:rsidRPr="0052012E">
              <w:rPr>
                <w:rStyle w:val="None"/>
                <w:rFonts w:ascii="Times New Roman" w:hAnsi="Times New Roman"/>
                <w:u w:color="000000"/>
              </w:rPr>
              <w:t xml:space="preserve">Iestādes nosaukums, kur cietusī persona pirmo reizi griezusies pēc antirabiskās palīdzības </w:t>
            </w:r>
          </w:p>
        </w:tc>
      </w:tr>
      <w:tr w:rsidR="00137DF8" w:rsidRPr="009019B2" w14:paraId="1140F60D" w14:textId="77777777">
        <w:trPr>
          <w:trHeight w:val="520"/>
        </w:trPr>
        <w:tc>
          <w:tcPr>
            <w:tcW w:w="9740" w:type="dxa"/>
            <w:gridSpan w:val="10"/>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DD8CD18" w14:textId="77777777" w:rsidR="00137DF8" w:rsidRPr="0021328C" w:rsidRDefault="0024621C">
            <w:pPr>
              <w:pStyle w:val="Default"/>
              <w:keepNext/>
              <w:outlineLvl w:val="0"/>
              <w:rPr>
                <w:rFonts w:hint="eastAsia"/>
                <w:lang w:val="es-ES"/>
              </w:rPr>
            </w:pPr>
            <w:r w:rsidRPr="0021328C">
              <w:rPr>
                <w:rStyle w:val="None"/>
                <w:rFonts w:ascii="Times New Roman" w:hAnsi="Times New Roman"/>
                <w:u w:color="000000"/>
                <w:lang w:val="es-ES"/>
              </w:rPr>
              <w:t xml:space="preserve">Iestādes nosaukums, kur cietusī persona turpina vakcināciju </w:t>
            </w:r>
          </w:p>
        </w:tc>
      </w:tr>
      <w:tr w:rsidR="00137DF8" w:rsidRPr="0052012E" w14:paraId="0D1269C9" w14:textId="77777777">
        <w:trPr>
          <w:trHeight w:val="447"/>
        </w:trPr>
        <w:tc>
          <w:tcPr>
            <w:tcW w:w="9740" w:type="dxa"/>
            <w:gridSpan w:val="10"/>
            <w:tcBorders>
              <w:top w:val="single" w:sz="4" w:space="0" w:color="000000"/>
              <w:left w:val="nil"/>
              <w:bottom w:val="nil"/>
              <w:right w:val="nil"/>
            </w:tcBorders>
            <w:shd w:val="clear" w:color="auto" w:fill="auto"/>
            <w:tcMar>
              <w:top w:w="80" w:type="dxa"/>
              <w:left w:w="80" w:type="dxa"/>
              <w:bottom w:w="80" w:type="dxa"/>
              <w:right w:w="80" w:type="dxa"/>
            </w:tcMar>
          </w:tcPr>
          <w:p w14:paraId="042C0C85" w14:textId="77777777" w:rsidR="00137DF8" w:rsidRPr="0021328C" w:rsidRDefault="00137DF8">
            <w:pPr>
              <w:pStyle w:val="Default"/>
              <w:keepNext/>
              <w:jc w:val="center"/>
              <w:outlineLvl w:val="0"/>
              <w:rPr>
                <w:rStyle w:val="None"/>
                <w:rFonts w:ascii="Times New Roman" w:eastAsia="Times New Roman" w:hAnsi="Times New Roman" w:cs="Times New Roman"/>
                <w:b/>
                <w:bCs/>
                <w:u w:color="000000"/>
                <w:lang w:val="es-ES"/>
              </w:rPr>
            </w:pPr>
          </w:p>
          <w:p w14:paraId="28E8FBD9" w14:textId="77777777" w:rsidR="00137DF8" w:rsidRPr="0052012E" w:rsidRDefault="0024621C">
            <w:pPr>
              <w:pStyle w:val="Default"/>
              <w:keepNext/>
              <w:jc w:val="center"/>
              <w:outlineLvl w:val="0"/>
              <w:rPr>
                <w:rFonts w:hint="eastAsia"/>
              </w:rPr>
            </w:pPr>
            <w:r w:rsidRPr="0052012E">
              <w:rPr>
                <w:rStyle w:val="None"/>
                <w:rFonts w:ascii="Times New Roman" w:hAnsi="Times New Roman"/>
                <w:b/>
                <w:bCs/>
                <w:u w:color="000000"/>
              </w:rPr>
              <w:t>I. Personas dati</w:t>
            </w:r>
          </w:p>
        </w:tc>
      </w:tr>
      <w:tr w:rsidR="00137DF8" w:rsidRPr="0052012E" w14:paraId="3F324ED6" w14:textId="77777777">
        <w:trPr>
          <w:trHeight w:val="232"/>
        </w:trPr>
        <w:tc>
          <w:tcPr>
            <w:tcW w:w="1775" w:type="dxa"/>
            <w:tcBorders>
              <w:top w:val="nil"/>
              <w:left w:val="nil"/>
              <w:bottom w:val="nil"/>
              <w:right w:val="nil"/>
            </w:tcBorders>
            <w:shd w:val="clear" w:color="auto" w:fill="auto"/>
            <w:tcMar>
              <w:top w:w="80" w:type="dxa"/>
              <w:left w:w="80" w:type="dxa"/>
              <w:bottom w:w="80" w:type="dxa"/>
              <w:right w:w="80" w:type="dxa"/>
            </w:tcMar>
          </w:tcPr>
          <w:p w14:paraId="1670EF1B" w14:textId="77777777" w:rsidR="00137DF8" w:rsidRPr="0052012E" w:rsidRDefault="0024621C">
            <w:pPr>
              <w:pStyle w:val="Default"/>
              <w:rPr>
                <w:rFonts w:hint="eastAsia"/>
              </w:rPr>
            </w:pPr>
            <w:r w:rsidRPr="0052012E">
              <w:rPr>
                <w:rStyle w:val="None"/>
                <w:rFonts w:ascii="Times New Roman" w:hAnsi="Times New Roman"/>
                <w:u w:color="000000"/>
              </w:rPr>
              <w:t xml:space="preserve">1. Vārds, uzvārds </w:t>
            </w:r>
          </w:p>
        </w:tc>
        <w:tc>
          <w:tcPr>
            <w:tcW w:w="7964" w:type="dxa"/>
            <w:gridSpan w:val="9"/>
            <w:tcBorders>
              <w:top w:val="nil"/>
              <w:left w:val="nil"/>
              <w:bottom w:val="single" w:sz="4" w:space="0" w:color="000000"/>
              <w:right w:val="nil"/>
            </w:tcBorders>
            <w:shd w:val="clear" w:color="auto" w:fill="auto"/>
            <w:tcMar>
              <w:top w:w="80" w:type="dxa"/>
              <w:left w:w="80" w:type="dxa"/>
              <w:bottom w:w="80" w:type="dxa"/>
              <w:right w:w="80" w:type="dxa"/>
            </w:tcMar>
          </w:tcPr>
          <w:p w14:paraId="0591A34C" w14:textId="77777777" w:rsidR="00137DF8" w:rsidRPr="0052012E" w:rsidRDefault="00137DF8">
            <w:pPr>
              <w:rPr>
                <w:sz w:val="20"/>
                <w:szCs w:val="20"/>
              </w:rPr>
            </w:pPr>
          </w:p>
        </w:tc>
      </w:tr>
      <w:tr w:rsidR="00137DF8" w:rsidRPr="0052012E" w14:paraId="6447140E" w14:textId="77777777">
        <w:trPr>
          <w:trHeight w:val="318"/>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08073260" w14:textId="77777777" w:rsidR="00137DF8" w:rsidRPr="0052012E" w:rsidRDefault="00137DF8">
            <w:pPr>
              <w:pStyle w:val="Default"/>
              <w:rPr>
                <w:rStyle w:val="None"/>
                <w:rFonts w:ascii="Times New Roman" w:eastAsia="Times New Roman" w:hAnsi="Times New Roman" w:cs="Times New Roman"/>
                <w:u w:color="000000"/>
              </w:rPr>
            </w:pPr>
          </w:p>
          <w:p w14:paraId="17243D0F" w14:textId="77777777" w:rsidR="00137DF8" w:rsidRPr="0052012E" w:rsidRDefault="0024621C">
            <w:pPr>
              <w:pStyle w:val="Default"/>
              <w:rPr>
                <w:rFonts w:hint="eastAsia"/>
              </w:rPr>
            </w:pPr>
            <w:r w:rsidRPr="0052012E">
              <w:rPr>
                <w:rStyle w:val="None"/>
                <w:rFonts w:ascii="Times New Roman" w:hAnsi="Times New Roman"/>
                <w:u w:color="000000"/>
              </w:rPr>
              <w:t xml:space="preserve">2. Personas kods                                                                                                     - </w:t>
            </w:r>
          </w:p>
        </w:tc>
      </w:tr>
      <w:tr w:rsidR="00137DF8" w:rsidRPr="0052012E" w14:paraId="4D390470"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15D9525A" w14:textId="77777777" w:rsidR="00137DF8" w:rsidRPr="0052012E" w:rsidRDefault="0024621C">
            <w:pPr>
              <w:pStyle w:val="Default"/>
              <w:rPr>
                <w:rFonts w:hint="eastAsia"/>
              </w:rPr>
            </w:pPr>
            <w:r w:rsidRPr="0052012E">
              <w:rPr>
                <w:rStyle w:val="None"/>
                <w:rFonts w:ascii="Times New Roman" w:hAnsi="Times New Roman"/>
                <w:u w:color="000000"/>
              </w:rPr>
              <w:t xml:space="preserve">3. Vecums __________ gadi </w:t>
            </w:r>
          </w:p>
        </w:tc>
      </w:tr>
      <w:tr w:rsidR="00137DF8" w:rsidRPr="0052012E" w14:paraId="61D76A3D" w14:textId="77777777">
        <w:trPr>
          <w:trHeight w:val="23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1F6C09F1" w14:textId="77777777" w:rsidR="00137DF8" w:rsidRPr="0052012E" w:rsidRDefault="0024621C">
            <w:pPr>
              <w:pStyle w:val="Default"/>
              <w:rPr>
                <w:rFonts w:hint="eastAsia"/>
              </w:rPr>
            </w:pPr>
            <w:r w:rsidRPr="0052012E">
              <w:rPr>
                <w:rStyle w:val="None"/>
                <w:rFonts w:ascii="Times New Roman" w:hAnsi="Times New Roman"/>
                <w:u w:color="000000"/>
              </w:rPr>
              <w:t xml:space="preserve">4. Dzīvesvieta </w:t>
            </w:r>
          </w:p>
        </w:tc>
        <w:tc>
          <w:tcPr>
            <w:tcW w:w="6703" w:type="dxa"/>
            <w:gridSpan w:val="7"/>
            <w:tcBorders>
              <w:top w:val="nil"/>
              <w:left w:val="nil"/>
              <w:bottom w:val="single" w:sz="4" w:space="0" w:color="000000"/>
              <w:right w:val="nil"/>
            </w:tcBorders>
            <w:shd w:val="clear" w:color="auto" w:fill="auto"/>
            <w:tcMar>
              <w:top w:w="80" w:type="dxa"/>
              <w:left w:w="80" w:type="dxa"/>
              <w:bottom w:w="80" w:type="dxa"/>
              <w:right w:w="80" w:type="dxa"/>
            </w:tcMar>
          </w:tcPr>
          <w:p w14:paraId="0EC62072" w14:textId="77777777" w:rsidR="00137DF8" w:rsidRPr="0052012E" w:rsidRDefault="00137DF8">
            <w:pPr>
              <w:rPr>
                <w:sz w:val="20"/>
                <w:szCs w:val="20"/>
              </w:rPr>
            </w:pPr>
          </w:p>
        </w:tc>
      </w:tr>
      <w:tr w:rsidR="00137DF8" w:rsidRPr="0052012E" w14:paraId="689E0BB3" w14:textId="77777777">
        <w:trPr>
          <w:trHeight w:val="45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2013822D" w14:textId="77777777" w:rsidR="00137DF8" w:rsidRPr="0052012E" w:rsidRDefault="0024621C">
            <w:pPr>
              <w:pStyle w:val="Default"/>
              <w:rPr>
                <w:rFonts w:hint="eastAsia"/>
              </w:rPr>
            </w:pPr>
            <w:r w:rsidRPr="0052012E">
              <w:rPr>
                <w:rStyle w:val="None"/>
                <w:rFonts w:ascii="Times New Roman" w:hAnsi="Times New Roman"/>
                <w:u w:color="000000"/>
              </w:rPr>
              <w:t>4.1. deklarētā dzīvesvieta, tālruņa numurs</w:t>
            </w:r>
          </w:p>
        </w:tc>
        <w:tc>
          <w:tcPr>
            <w:tcW w:w="6703"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775ADEC" w14:textId="77777777" w:rsidR="00137DF8" w:rsidRPr="0052012E" w:rsidRDefault="00137DF8">
            <w:pPr>
              <w:rPr>
                <w:sz w:val="20"/>
                <w:szCs w:val="20"/>
              </w:rPr>
            </w:pPr>
          </w:p>
        </w:tc>
      </w:tr>
      <w:tr w:rsidR="00137DF8" w:rsidRPr="0052012E" w14:paraId="14FF094B" w14:textId="77777777">
        <w:trPr>
          <w:trHeight w:val="45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1233D17C" w14:textId="77777777" w:rsidR="00137DF8" w:rsidRPr="0052012E" w:rsidRDefault="0024621C">
            <w:pPr>
              <w:pStyle w:val="Default"/>
              <w:rPr>
                <w:rFonts w:hint="eastAsia"/>
              </w:rPr>
            </w:pPr>
            <w:r w:rsidRPr="0052012E">
              <w:rPr>
                <w:rStyle w:val="None"/>
                <w:rFonts w:ascii="Times New Roman" w:hAnsi="Times New Roman"/>
                <w:u w:color="000000"/>
              </w:rPr>
              <w:t>4.2. papildu dzīvesvieta, tālruņa numurs</w:t>
            </w:r>
          </w:p>
        </w:tc>
        <w:tc>
          <w:tcPr>
            <w:tcW w:w="6703"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8F83466" w14:textId="77777777" w:rsidR="00137DF8" w:rsidRPr="0052012E" w:rsidRDefault="00137DF8">
            <w:pPr>
              <w:rPr>
                <w:sz w:val="20"/>
                <w:szCs w:val="20"/>
              </w:rPr>
            </w:pPr>
          </w:p>
        </w:tc>
      </w:tr>
      <w:tr w:rsidR="00137DF8" w:rsidRPr="0052012E" w14:paraId="50D44C90" w14:textId="77777777">
        <w:trPr>
          <w:trHeight w:val="23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17144CBA" w14:textId="77777777" w:rsidR="00137DF8" w:rsidRPr="0052012E" w:rsidRDefault="0024621C">
            <w:pPr>
              <w:pStyle w:val="Default"/>
              <w:rPr>
                <w:rFonts w:hint="eastAsia"/>
              </w:rPr>
            </w:pPr>
            <w:r w:rsidRPr="0052012E">
              <w:rPr>
                <w:rStyle w:val="None"/>
                <w:rFonts w:ascii="Times New Roman" w:hAnsi="Times New Roman"/>
                <w:u w:color="000000"/>
              </w:rPr>
              <w:t xml:space="preserve">5. Darbavieta, nodarbošanās </w:t>
            </w:r>
          </w:p>
        </w:tc>
        <w:tc>
          <w:tcPr>
            <w:tcW w:w="6703"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0D0442E" w14:textId="77777777" w:rsidR="00137DF8" w:rsidRPr="0052012E" w:rsidRDefault="00137DF8">
            <w:pPr>
              <w:rPr>
                <w:sz w:val="20"/>
                <w:szCs w:val="20"/>
              </w:rPr>
            </w:pPr>
          </w:p>
        </w:tc>
      </w:tr>
      <w:tr w:rsidR="00137DF8" w:rsidRPr="0052012E" w14:paraId="639D95D6" w14:textId="77777777">
        <w:trPr>
          <w:trHeight w:val="318"/>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7B89FE76" w14:textId="77777777" w:rsidR="00137DF8" w:rsidRPr="0052012E" w:rsidRDefault="00137DF8">
            <w:pPr>
              <w:pStyle w:val="Default"/>
              <w:rPr>
                <w:rStyle w:val="None"/>
                <w:rFonts w:ascii="Times New Roman" w:eastAsia="Times New Roman" w:hAnsi="Times New Roman" w:cs="Times New Roman"/>
                <w:u w:color="000000"/>
              </w:rPr>
            </w:pPr>
          </w:p>
          <w:p w14:paraId="77F3EB7A" w14:textId="77777777" w:rsidR="00137DF8" w:rsidRPr="0052012E" w:rsidRDefault="0024621C">
            <w:pPr>
              <w:pStyle w:val="Default"/>
              <w:rPr>
                <w:rFonts w:hint="eastAsia"/>
              </w:rPr>
            </w:pPr>
            <w:r w:rsidRPr="0052012E">
              <w:rPr>
                <w:rStyle w:val="None"/>
                <w:rFonts w:ascii="Times New Roman" w:hAnsi="Times New Roman"/>
                <w:u w:color="000000"/>
              </w:rPr>
              <w:t>6. Ārsta apmeklējuma datums  (dd.mm.gggg)                                                                     ..</w:t>
            </w:r>
          </w:p>
        </w:tc>
      </w:tr>
      <w:tr w:rsidR="00137DF8" w:rsidRPr="009019B2" w14:paraId="3280AB42" w14:textId="77777777">
        <w:trPr>
          <w:trHeight w:val="232"/>
        </w:trPr>
        <w:tc>
          <w:tcPr>
            <w:tcW w:w="3954" w:type="dxa"/>
            <w:gridSpan w:val="6"/>
            <w:tcBorders>
              <w:top w:val="nil"/>
              <w:left w:val="nil"/>
              <w:bottom w:val="nil"/>
              <w:right w:val="nil"/>
            </w:tcBorders>
            <w:shd w:val="clear" w:color="auto" w:fill="auto"/>
            <w:tcMar>
              <w:top w:w="80" w:type="dxa"/>
              <w:left w:w="80" w:type="dxa"/>
              <w:bottom w:w="80" w:type="dxa"/>
              <w:right w:w="80" w:type="dxa"/>
            </w:tcMar>
          </w:tcPr>
          <w:p w14:paraId="2F8A2FF3" w14:textId="77777777" w:rsidR="00137DF8" w:rsidRPr="0021328C" w:rsidRDefault="0024621C">
            <w:pPr>
              <w:pStyle w:val="Default"/>
              <w:rPr>
                <w:rFonts w:hint="eastAsia"/>
                <w:lang w:val="es-ES"/>
              </w:rPr>
            </w:pPr>
            <w:r w:rsidRPr="0021328C">
              <w:rPr>
                <w:rStyle w:val="None"/>
                <w:rFonts w:ascii="Times New Roman" w:hAnsi="Times New Roman"/>
                <w:u w:color="000000"/>
                <w:lang w:val="es-ES"/>
              </w:rPr>
              <w:t>7. Diagnoze (bojājuma veids un lokalizācija)</w:t>
            </w:r>
          </w:p>
        </w:tc>
        <w:tc>
          <w:tcPr>
            <w:tcW w:w="5785" w:type="dxa"/>
            <w:gridSpan w:val="4"/>
            <w:tcBorders>
              <w:top w:val="nil"/>
              <w:left w:val="nil"/>
              <w:bottom w:val="single" w:sz="4" w:space="0" w:color="000000"/>
              <w:right w:val="nil"/>
            </w:tcBorders>
            <w:shd w:val="clear" w:color="auto" w:fill="auto"/>
            <w:tcMar>
              <w:top w:w="80" w:type="dxa"/>
              <w:left w:w="80" w:type="dxa"/>
              <w:bottom w:w="80" w:type="dxa"/>
              <w:right w:w="80" w:type="dxa"/>
            </w:tcMar>
          </w:tcPr>
          <w:p w14:paraId="635E44C2" w14:textId="77777777" w:rsidR="00137DF8" w:rsidRPr="0021328C" w:rsidRDefault="00137DF8">
            <w:pPr>
              <w:rPr>
                <w:sz w:val="20"/>
                <w:szCs w:val="20"/>
                <w:lang w:val="es-ES"/>
              </w:rPr>
            </w:pPr>
          </w:p>
        </w:tc>
      </w:tr>
      <w:tr w:rsidR="00137DF8" w:rsidRPr="009019B2" w14:paraId="08C59D83" w14:textId="77777777">
        <w:trPr>
          <w:trHeight w:val="227"/>
        </w:trPr>
        <w:tc>
          <w:tcPr>
            <w:tcW w:w="9740" w:type="dxa"/>
            <w:gridSpan w:val="10"/>
            <w:tcBorders>
              <w:top w:val="nil"/>
              <w:left w:val="nil"/>
              <w:bottom w:val="single" w:sz="4" w:space="0" w:color="000000"/>
              <w:right w:val="nil"/>
            </w:tcBorders>
            <w:shd w:val="clear" w:color="auto" w:fill="auto"/>
            <w:tcMar>
              <w:top w:w="80" w:type="dxa"/>
              <w:left w:w="80" w:type="dxa"/>
              <w:bottom w:w="80" w:type="dxa"/>
              <w:right w:w="80" w:type="dxa"/>
            </w:tcMar>
          </w:tcPr>
          <w:p w14:paraId="0D36C238" w14:textId="77777777" w:rsidR="00137DF8" w:rsidRPr="0021328C" w:rsidRDefault="00137DF8">
            <w:pPr>
              <w:rPr>
                <w:sz w:val="20"/>
                <w:szCs w:val="20"/>
                <w:lang w:val="es-ES"/>
              </w:rPr>
            </w:pPr>
          </w:p>
        </w:tc>
      </w:tr>
      <w:tr w:rsidR="00137DF8" w:rsidRPr="009019B2" w14:paraId="2E329BB4" w14:textId="77777777">
        <w:trPr>
          <w:trHeight w:val="227"/>
        </w:trPr>
        <w:tc>
          <w:tcPr>
            <w:tcW w:w="9740" w:type="dxa"/>
            <w:gridSpan w:val="10"/>
            <w:tcBorders>
              <w:top w:val="single" w:sz="4" w:space="0" w:color="000000"/>
              <w:left w:val="nil"/>
              <w:bottom w:val="nil"/>
              <w:right w:val="nil"/>
            </w:tcBorders>
            <w:shd w:val="clear" w:color="auto" w:fill="auto"/>
            <w:tcMar>
              <w:top w:w="80" w:type="dxa"/>
              <w:left w:w="80" w:type="dxa"/>
              <w:bottom w:w="80" w:type="dxa"/>
              <w:right w:w="80" w:type="dxa"/>
            </w:tcMar>
          </w:tcPr>
          <w:p w14:paraId="203862CA" w14:textId="77777777" w:rsidR="00137DF8" w:rsidRPr="0021328C" w:rsidRDefault="00137DF8">
            <w:pPr>
              <w:rPr>
                <w:sz w:val="20"/>
                <w:szCs w:val="20"/>
                <w:lang w:val="es-ES"/>
              </w:rPr>
            </w:pPr>
          </w:p>
        </w:tc>
      </w:tr>
      <w:tr w:rsidR="00137DF8" w:rsidRPr="009019B2" w14:paraId="248F16B5"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668C0455" w14:textId="77777777" w:rsidR="00137DF8" w:rsidRPr="0052012E" w:rsidRDefault="0024621C">
            <w:pPr>
              <w:pStyle w:val="Heading3"/>
              <w:keepNext/>
              <w:spacing w:after="0" w:line="240" w:lineRule="auto"/>
              <w:rPr>
                <w:rFonts w:hint="eastAsia"/>
                <w:sz w:val="20"/>
                <w:szCs w:val="20"/>
              </w:rPr>
            </w:pPr>
            <w:r w:rsidRPr="0052012E">
              <w:rPr>
                <w:rStyle w:val="None"/>
                <w:rFonts w:ascii="Times New Roman" w:hAnsi="Times New Roman"/>
                <w:b/>
                <w:bCs/>
                <w:caps w:val="0"/>
                <w:color w:val="000000"/>
                <w:spacing w:val="0"/>
                <w:sz w:val="20"/>
                <w:szCs w:val="20"/>
                <w:u w:color="000000"/>
              </w:rPr>
              <w:t>II. Īsa anamnēze par kontaktu ar dzīvnieku</w:t>
            </w:r>
          </w:p>
        </w:tc>
      </w:tr>
      <w:tr w:rsidR="00137DF8" w:rsidRPr="0052012E" w14:paraId="02A1D262" w14:textId="77777777">
        <w:trPr>
          <w:trHeight w:val="318"/>
        </w:trPr>
        <w:tc>
          <w:tcPr>
            <w:tcW w:w="6122" w:type="dxa"/>
            <w:gridSpan w:val="8"/>
            <w:tcBorders>
              <w:top w:val="nil"/>
              <w:left w:val="nil"/>
              <w:bottom w:val="nil"/>
              <w:right w:val="nil"/>
            </w:tcBorders>
            <w:shd w:val="clear" w:color="auto" w:fill="auto"/>
            <w:tcMar>
              <w:top w:w="80" w:type="dxa"/>
              <w:left w:w="80" w:type="dxa"/>
              <w:bottom w:w="80" w:type="dxa"/>
              <w:right w:w="80" w:type="dxa"/>
            </w:tcMar>
          </w:tcPr>
          <w:p w14:paraId="2066F1D3" w14:textId="77777777" w:rsidR="00137DF8" w:rsidRPr="0021328C" w:rsidRDefault="00137DF8">
            <w:pPr>
              <w:pStyle w:val="Default"/>
              <w:rPr>
                <w:rStyle w:val="None"/>
                <w:rFonts w:ascii="Times New Roman" w:eastAsia="Times New Roman" w:hAnsi="Times New Roman" w:cs="Times New Roman"/>
                <w:u w:color="000000"/>
                <w:lang w:val="es-ES"/>
              </w:rPr>
            </w:pPr>
          </w:p>
          <w:p w14:paraId="2857FDDA" w14:textId="77777777" w:rsidR="00137DF8" w:rsidRPr="0052012E" w:rsidRDefault="0024621C">
            <w:pPr>
              <w:pStyle w:val="Default"/>
              <w:rPr>
                <w:rFonts w:hint="eastAsia"/>
              </w:rPr>
            </w:pPr>
            <w:r w:rsidRPr="0052012E">
              <w:rPr>
                <w:rStyle w:val="None"/>
                <w:rFonts w:ascii="Times New Roman" w:hAnsi="Times New Roman"/>
                <w:u w:color="000000"/>
              </w:rPr>
              <w:t>8. Notikuma datums (dd.mm.gggg)</w:t>
            </w:r>
          </w:p>
        </w:tc>
        <w:tc>
          <w:tcPr>
            <w:tcW w:w="3617" w:type="dxa"/>
            <w:gridSpan w:val="2"/>
            <w:tcBorders>
              <w:top w:val="nil"/>
              <w:left w:val="nil"/>
              <w:bottom w:val="nil"/>
              <w:right w:val="nil"/>
            </w:tcBorders>
            <w:shd w:val="clear" w:color="auto" w:fill="auto"/>
            <w:tcMar>
              <w:top w:w="80" w:type="dxa"/>
              <w:left w:w="80" w:type="dxa"/>
              <w:bottom w:w="80" w:type="dxa"/>
              <w:right w:w="80" w:type="dxa"/>
            </w:tcMar>
          </w:tcPr>
          <w:p w14:paraId="52B251A3" w14:textId="77777777" w:rsidR="00137DF8" w:rsidRPr="0052012E" w:rsidRDefault="00137DF8">
            <w:pPr>
              <w:pStyle w:val="Default"/>
              <w:jc w:val="right"/>
              <w:rPr>
                <w:rStyle w:val="None"/>
                <w:rFonts w:ascii="Times New Roman" w:eastAsia="Times New Roman" w:hAnsi="Times New Roman" w:cs="Times New Roman"/>
                <w:u w:color="000000"/>
              </w:rPr>
            </w:pPr>
          </w:p>
          <w:p w14:paraId="1DF2B1F5" w14:textId="77777777" w:rsidR="00137DF8" w:rsidRPr="0052012E" w:rsidRDefault="0024621C">
            <w:pPr>
              <w:pStyle w:val="Default"/>
              <w:jc w:val="right"/>
              <w:rPr>
                <w:rFonts w:hint="eastAsia"/>
              </w:rPr>
            </w:pPr>
            <w:r w:rsidRPr="0052012E">
              <w:rPr>
                <w:rStyle w:val="None"/>
                <w:rFonts w:ascii="Times New Roman" w:hAnsi="Times New Roman"/>
                <w:u w:color="000000"/>
              </w:rPr>
              <w:t>..</w:t>
            </w:r>
          </w:p>
        </w:tc>
      </w:tr>
      <w:tr w:rsidR="00137DF8" w:rsidRPr="0052012E" w14:paraId="591378CC" w14:textId="77777777">
        <w:trPr>
          <w:trHeight w:val="23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1510ACEE" w14:textId="77777777" w:rsidR="00137DF8" w:rsidRPr="0052012E" w:rsidRDefault="0024621C">
            <w:pPr>
              <w:pStyle w:val="Default"/>
              <w:rPr>
                <w:rFonts w:hint="eastAsia"/>
              </w:rPr>
            </w:pPr>
            <w:r w:rsidRPr="0052012E">
              <w:rPr>
                <w:rStyle w:val="None"/>
                <w:rFonts w:ascii="Times New Roman" w:hAnsi="Times New Roman"/>
                <w:u w:color="000000"/>
              </w:rPr>
              <w:t xml:space="preserve">9. Dzīvnieka saimnieka adrese </w:t>
            </w:r>
          </w:p>
        </w:tc>
        <w:tc>
          <w:tcPr>
            <w:tcW w:w="6703" w:type="dxa"/>
            <w:gridSpan w:val="7"/>
            <w:tcBorders>
              <w:top w:val="nil"/>
              <w:left w:val="nil"/>
              <w:bottom w:val="single" w:sz="4" w:space="0" w:color="000000"/>
              <w:right w:val="nil"/>
            </w:tcBorders>
            <w:shd w:val="clear" w:color="auto" w:fill="auto"/>
            <w:tcMar>
              <w:top w:w="80" w:type="dxa"/>
              <w:left w:w="80" w:type="dxa"/>
              <w:bottom w:w="80" w:type="dxa"/>
              <w:right w:w="80" w:type="dxa"/>
            </w:tcMar>
          </w:tcPr>
          <w:p w14:paraId="3BC6EA33" w14:textId="77777777" w:rsidR="00137DF8" w:rsidRPr="0052012E" w:rsidRDefault="00137DF8">
            <w:pPr>
              <w:rPr>
                <w:sz w:val="20"/>
                <w:szCs w:val="20"/>
              </w:rPr>
            </w:pPr>
          </w:p>
        </w:tc>
      </w:tr>
      <w:tr w:rsidR="00137DF8" w:rsidRPr="0052012E" w14:paraId="343A6E7B" w14:textId="77777777">
        <w:trPr>
          <w:trHeight w:val="492"/>
        </w:trPr>
        <w:tc>
          <w:tcPr>
            <w:tcW w:w="7191" w:type="dxa"/>
            <w:gridSpan w:val="9"/>
            <w:tcBorders>
              <w:top w:val="nil"/>
              <w:left w:val="nil"/>
              <w:bottom w:val="nil"/>
              <w:right w:val="nil"/>
            </w:tcBorders>
            <w:shd w:val="clear" w:color="auto" w:fill="auto"/>
            <w:tcMar>
              <w:top w:w="80" w:type="dxa"/>
              <w:left w:w="80" w:type="dxa"/>
              <w:bottom w:w="80" w:type="dxa"/>
              <w:right w:w="80" w:type="dxa"/>
            </w:tcMar>
          </w:tcPr>
          <w:p w14:paraId="5B0E14E2" w14:textId="77777777" w:rsidR="00137DF8" w:rsidRPr="0052012E" w:rsidRDefault="00137DF8">
            <w:pPr>
              <w:pStyle w:val="Default"/>
              <w:rPr>
                <w:rStyle w:val="None"/>
                <w:rFonts w:ascii="Times New Roman" w:eastAsia="Times New Roman" w:hAnsi="Times New Roman" w:cs="Times New Roman"/>
                <w:u w:color="000000"/>
              </w:rPr>
            </w:pPr>
          </w:p>
          <w:p w14:paraId="4643F5B9" w14:textId="77777777" w:rsidR="00137DF8" w:rsidRPr="0052012E" w:rsidRDefault="0024621C">
            <w:pPr>
              <w:pStyle w:val="Default"/>
              <w:rPr>
                <w:rFonts w:hint="eastAsia"/>
              </w:rPr>
            </w:pPr>
            <w:r w:rsidRPr="0052012E">
              <w:rPr>
                <w:rStyle w:val="None"/>
                <w:rFonts w:ascii="Times New Roman" w:hAnsi="Times New Roman"/>
                <w:u w:color="000000"/>
              </w:rPr>
              <w:t>10. Dzīvnieka piederība (vajadzīgo atzīmēt): 1 – savs; 2 – svešs; 3 – zināms</w:t>
            </w:r>
          </w:p>
        </w:tc>
        <w:tc>
          <w:tcPr>
            <w:tcW w:w="2548" w:type="dxa"/>
            <w:tcBorders>
              <w:top w:val="single" w:sz="4" w:space="0" w:color="000000"/>
              <w:left w:val="nil"/>
              <w:bottom w:val="nil"/>
              <w:right w:val="nil"/>
            </w:tcBorders>
            <w:shd w:val="clear" w:color="auto" w:fill="auto"/>
            <w:tcMar>
              <w:top w:w="80" w:type="dxa"/>
              <w:left w:w="80" w:type="dxa"/>
              <w:bottom w:w="80" w:type="dxa"/>
              <w:right w:w="80" w:type="dxa"/>
            </w:tcMar>
          </w:tcPr>
          <w:p w14:paraId="383688F5" w14:textId="77777777" w:rsidR="00137DF8" w:rsidRPr="0052012E" w:rsidRDefault="00137DF8">
            <w:pPr>
              <w:pStyle w:val="Default"/>
              <w:jc w:val="right"/>
              <w:rPr>
                <w:rStyle w:val="None"/>
                <w:rFonts w:ascii="Times New Roman" w:eastAsia="Times New Roman" w:hAnsi="Times New Roman" w:cs="Times New Roman"/>
                <w:u w:color="000000"/>
              </w:rPr>
            </w:pPr>
          </w:p>
          <w:p w14:paraId="1F30F52C" w14:textId="77777777" w:rsidR="00137DF8" w:rsidRPr="0052012E" w:rsidRDefault="00137DF8">
            <w:pPr>
              <w:pStyle w:val="Default"/>
              <w:jc w:val="right"/>
              <w:rPr>
                <w:rFonts w:hint="eastAsia"/>
              </w:rPr>
            </w:pPr>
          </w:p>
        </w:tc>
      </w:tr>
      <w:tr w:rsidR="00137DF8" w:rsidRPr="0052012E" w14:paraId="4CF77DE2" w14:textId="77777777">
        <w:trPr>
          <w:trHeight w:val="447"/>
        </w:trPr>
        <w:tc>
          <w:tcPr>
            <w:tcW w:w="9740" w:type="dxa"/>
            <w:gridSpan w:val="10"/>
            <w:tcBorders>
              <w:top w:val="nil"/>
              <w:left w:val="nil"/>
              <w:bottom w:val="single" w:sz="4" w:space="0" w:color="000000"/>
              <w:right w:val="nil"/>
            </w:tcBorders>
            <w:shd w:val="clear" w:color="auto" w:fill="auto"/>
            <w:tcMar>
              <w:top w:w="80" w:type="dxa"/>
              <w:left w:w="80" w:type="dxa"/>
              <w:bottom w:w="80" w:type="dxa"/>
              <w:right w:w="80" w:type="dxa"/>
            </w:tcMar>
          </w:tcPr>
          <w:p w14:paraId="40AD21D3" w14:textId="77777777" w:rsidR="00137DF8" w:rsidRPr="0052012E" w:rsidRDefault="0024621C">
            <w:pPr>
              <w:pStyle w:val="Default"/>
              <w:rPr>
                <w:rFonts w:hint="eastAsia"/>
              </w:rPr>
            </w:pPr>
            <w:r w:rsidRPr="0052012E">
              <w:rPr>
                <w:rStyle w:val="None"/>
                <w:rFonts w:ascii="Times New Roman" w:hAnsi="Times New Roman"/>
                <w:u w:color="000000"/>
              </w:rPr>
              <w:t>11. Kodiena, skrāpējuma, apsiekalojuma vai cita kontakta apstākļi (dzīvnieks uzbrucis pats, izprovocēts)</w:t>
            </w:r>
          </w:p>
        </w:tc>
      </w:tr>
      <w:tr w:rsidR="00137DF8" w:rsidRPr="0052012E" w14:paraId="5B0A0DC5" w14:textId="77777777">
        <w:trPr>
          <w:trHeight w:val="267"/>
        </w:trPr>
        <w:tc>
          <w:tcPr>
            <w:tcW w:w="9740" w:type="dxa"/>
            <w:gridSpan w:val="10"/>
            <w:tcBorders>
              <w:top w:val="single" w:sz="4" w:space="0" w:color="000000"/>
              <w:left w:val="nil"/>
              <w:bottom w:val="nil"/>
              <w:right w:val="nil"/>
            </w:tcBorders>
            <w:shd w:val="clear" w:color="auto" w:fill="auto"/>
            <w:tcMar>
              <w:top w:w="80" w:type="dxa"/>
              <w:left w:w="80" w:type="dxa"/>
              <w:bottom w:w="80" w:type="dxa"/>
              <w:right w:w="80" w:type="dxa"/>
            </w:tcMar>
          </w:tcPr>
          <w:p w14:paraId="4DA525F6" w14:textId="77777777" w:rsidR="00137DF8" w:rsidRPr="0052012E" w:rsidRDefault="00137DF8">
            <w:pPr>
              <w:pStyle w:val="Default"/>
              <w:rPr>
                <w:rStyle w:val="None"/>
                <w:rFonts w:ascii="Times New Roman" w:eastAsia="Times New Roman" w:hAnsi="Times New Roman" w:cs="Times New Roman"/>
                <w:u w:color="000000"/>
              </w:rPr>
            </w:pPr>
          </w:p>
          <w:p w14:paraId="53AE268F" w14:textId="77777777" w:rsidR="00137DF8" w:rsidRPr="0052012E" w:rsidRDefault="0024621C">
            <w:pPr>
              <w:pStyle w:val="Default"/>
              <w:rPr>
                <w:rFonts w:hint="eastAsia"/>
              </w:rPr>
            </w:pPr>
            <w:r w:rsidRPr="0052012E">
              <w:rPr>
                <w:rStyle w:val="None"/>
                <w:rFonts w:ascii="Times New Roman" w:hAnsi="Times New Roman"/>
                <w:u w:color="000000"/>
              </w:rPr>
              <w:t>12. Dzīvnieks palicis vesels (tiek novērots), gājis bojā vai aizbēdzis (vajadzīgo pasvītrot)</w:t>
            </w:r>
          </w:p>
        </w:tc>
      </w:tr>
      <w:tr w:rsidR="00137DF8" w:rsidRPr="0052012E" w14:paraId="5F1D882C"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2BBF25E5" w14:textId="77777777" w:rsidR="00137DF8" w:rsidRPr="0052012E" w:rsidRDefault="00137DF8">
            <w:pPr>
              <w:rPr>
                <w:sz w:val="20"/>
                <w:szCs w:val="20"/>
              </w:rPr>
            </w:pPr>
          </w:p>
        </w:tc>
      </w:tr>
      <w:tr w:rsidR="00137DF8" w:rsidRPr="0052012E" w14:paraId="4B5A5A21"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0AFDF2DA" w14:textId="77777777" w:rsidR="00137DF8" w:rsidRPr="0052012E" w:rsidRDefault="0024621C">
            <w:pPr>
              <w:pStyle w:val="Heading3"/>
              <w:keepNext/>
              <w:spacing w:after="0" w:line="240" w:lineRule="auto"/>
              <w:rPr>
                <w:rFonts w:hint="eastAsia"/>
                <w:sz w:val="20"/>
                <w:szCs w:val="20"/>
              </w:rPr>
            </w:pPr>
            <w:r w:rsidRPr="0052012E">
              <w:rPr>
                <w:rStyle w:val="None"/>
                <w:rFonts w:ascii="Times New Roman" w:hAnsi="Times New Roman"/>
                <w:b/>
                <w:bCs/>
                <w:caps w:val="0"/>
                <w:color w:val="000000"/>
                <w:spacing w:val="0"/>
                <w:sz w:val="20"/>
                <w:szCs w:val="20"/>
                <w:u w:color="000000"/>
              </w:rPr>
              <w:lastRenderedPageBreak/>
              <w:t>III. Veterinārārsta atzinums par dzīvnieka izmeklēšanu</w:t>
            </w:r>
          </w:p>
        </w:tc>
      </w:tr>
      <w:tr w:rsidR="00137DF8" w:rsidRPr="0052012E" w14:paraId="4DF00634" w14:textId="77777777">
        <w:trPr>
          <w:trHeight w:val="232"/>
        </w:trPr>
        <w:tc>
          <w:tcPr>
            <w:tcW w:w="2320" w:type="dxa"/>
            <w:gridSpan w:val="2"/>
            <w:tcBorders>
              <w:top w:val="nil"/>
              <w:left w:val="nil"/>
              <w:bottom w:val="nil"/>
              <w:right w:val="nil"/>
            </w:tcBorders>
            <w:shd w:val="clear" w:color="auto" w:fill="auto"/>
            <w:tcMar>
              <w:top w:w="80" w:type="dxa"/>
              <w:left w:w="80" w:type="dxa"/>
              <w:bottom w:w="80" w:type="dxa"/>
              <w:right w:w="80" w:type="dxa"/>
            </w:tcMar>
          </w:tcPr>
          <w:p w14:paraId="64408205" w14:textId="77777777" w:rsidR="00137DF8" w:rsidRPr="0052012E" w:rsidRDefault="0024621C">
            <w:pPr>
              <w:pStyle w:val="Default"/>
              <w:rPr>
                <w:rFonts w:hint="eastAsia"/>
              </w:rPr>
            </w:pPr>
            <w:r w:rsidRPr="0052012E">
              <w:rPr>
                <w:rStyle w:val="None"/>
                <w:rFonts w:ascii="Times New Roman" w:hAnsi="Times New Roman"/>
                <w:u w:color="000000"/>
              </w:rPr>
              <w:t xml:space="preserve">13. Klīnikas nosaukums </w:t>
            </w:r>
          </w:p>
        </w:tc>
        <w:tc>
          <w:tcPr>
            <w:tcW w:w="7419" w:type="dxa"/>
            <w:gridSpan w:val="8"/>
            <w:tcBorders>
              <w:top w:val="nil"/>
              <w:left w:val="nil"/>
              <w:bottom w:val="single" w:sz="4" w:space="0" w:color="000000"/>
              <w:right w:val="nil"/>
            </w:tcBorders>
            <w:shd w:val="clear" w:color="auto" w:fill="auto"/>
            <w:tcMar>
              <w:top w:w="80" w:type="dxa"/>
              <w:left w:w="80" w:type="dxa"/>
              <w:bottom w:w="80" w:type="dxa"/>
              <w:right w:w="80" w:type="dxa"/>
            </w:tcMar>
          </w:tcPr>
          <w:p w14:paraId="19C8F873" w14:textId="77777777" w:rsidR="00137DF8" w:rsidRPr="0052012E" w:rsidRDefault="00137DF8">
            <w:pPr>
              <w:rPr>
                <w:sz w:val="20"/>
                <w:szCs w:val="20"/>
              </w:rPr>
            </w:pPr>
          </w:p>
        </w:tc>
      </w:tr>
      <w:tr w:rsidR="00137DF8" w:rsidRPr="0052012E" w14:paraId="39EEC508" w14:textId="77777777">
        <w:trPr>
          <w:trHeight w:val="67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0C2ADC19" w14:textId="77777777" w:rsidR="00137DF8" w:rsidRPr="0052012E" w:rsidRDefault="0024621C">
            <w:pPr>
              <w:pStyle w:val="Default"/>
              <w:rPr>
                <w:rStyle w:val="None"/>
                <w:rFonts w:ascii="Times New Roman" w:eastAsia="Times New Roman" w:hAnsi="Times New Roman" w:cs="Times New Roman"/>
                <w:u w:color="000000"/>
              </w:rPr>
            </w:pPr>
            <w:r w:rsidRPr="0052012E">
              <w:rPr>
                <w:rStyle w:val="None"/>
                <w:rFonts w:ascii="Times New Roman" w:hAnsi="Times New Roman"/>
                <w:u w:color="000000"/>
              </w:rPr>
              <w:t>14. Veterinārārsta atzinums par dzīvnieka veselības stāvokli:</w:t>
            </w:r>
          </w:p>
          <w:p w14:paraId="634A7170" w14:textId="77777777" w:rsidR="00137DF8" w:rsidRPr="0052012E" w:rsidRDefault="0024621C">
            <w:pPr>
              <w:pStyle w:val="Default"/>
              <w:rPr>
                <w:rFonts w:hint="eastAsia"/>
              </w:rPr>
            </w:pPr>
            <w:r w:rsidRPr="0052012E">
              <w:rPr>
                <w:rStyle w:val="None"/>
                <w:rFonts w:ascii="Times New Roman" w:hAnsi="Times New Roman"/>
                <w:u w:color="000000"/>
              </w:rPr>
              <w:t>14.1. novērošanas sākumā _______________________________________________________________________</w:t>
            </w:r>
          </w:p>
        </w:tc>
      </w:tr>
      <w:tr w:rsidR="00137DF8" w:rsidRPr="0052012E" w14:paraId="23CB0B6F" w14:textId="77777777">
        <w:trPr>
          <w:trHeight w:val="232"/>
        </w:trPr>
        <w:tc>
          <w:tcPr>
            <w:tcW w:w="2320" w:type="dxa"/>
            <w:gridSpan w:val="2"/>
            <w:tcBorders>
              <w:top w:val="nil"/>
              <w:left w:val="nil"/>
              <w:bottom w:val="nil"/>
              <w:right w:val="nil"/>
            </w:tcBorders>
            <w:shd w:val="clear" w:color="auto" w:fill="auto"/>
            <w:tcMar>
              <w:top w:w="80" w:type="dxa"/>
              <w:left w:w="80" w:type="dxa"/>
              <w:bottom w:w="80" w:type="dxa"/>
              <w:right w:w="80" w:type="dxa"/>
            </w:tcMar>
          </w:tcPr>
          <w:p w14:paraId="18099A9A" w14:textId="77777777" w:rsidR="00137DF8" w:rsidRPr="0052012E" w:rsidRDefault="0024621C">
            <w:pPr>
              <w:pStyle w:val="Default"/>
              <w:rPr>
                <w:rFonts w:hint="eastAsia"/>
              </w:rPr>
            </w:pPr>
            <w:r w:rsidRPr="0052012E">
              <w:rPr>
                <w:rStyle w:val="None"/>
                <w:rFonts w:ascii="Times New Roman" w:hAnsi="Times New Roman"/>
                <w:u w:color="000000"/>
              </w:rPr>
              <w:t xml:space="preserve">14.2. novērošanas beigās </w:t>
            </w:r>
          </w:p>
        </w:tc>
        <w:tc>
          <w:tcPr>
            <w:tcW w:w="7419" w:type="dxa"/>
            <w:gridSpan w:val="8"/>
            <w:tcBorders>
              <w:top w:val="nil"/>
              <w:left w:val="nil"/>
              <w:bottom w:val="single" w:sz="4" w:space="0" w:color="000000"/>
              <w:right w:val="nil"/>
            </w:tcBorders>
            <w:shd w:val="clear" w:color="auto" w:fill="auto"/>
            <w:tcMar>
              <w:top w:w="80" w:type="dxa"/>
              <w:left w:w="80" w:type="dxa"/>
              <w:bottom w:w="80" w:type="dxa"/>
              <w:right w:w="80" w:type="dxa"/>
            </w:tcMar>
          </w:tcPr>
          <w:p w14:paraId="437CBF7E" w14:textId="77777777" w:rsidR="00137DF8" w:rsidRPr="0052012E" w:rsidRDefault="00137DF8">
            <w:pPr>
              <w:rPr>
                <w:sz w:val="20"/>
                <w:szCs w:val="20"/>
              </w:rPr>
            </w:pPr>
          </w:p>
        </w:tc>
      </w:tr>
      <w:tr w:rsidR="00137DF8" w:rsidRPr="0052012E" w14:paraId="042648C3" w14:textId="77777777">
        <w:trPr>
          <w:trHeight w:val="232"/>
        </w:trPr>
        <w:tc>
          <w:tcPr>
            <w:tcW w:w="3765" w:type="dxa"/>
            <w:gridSpan w:val="5"/>
            <w:tcBorders>
              <w:top w:val="nil"/>
              <w:left w:val="nil"/>
              <w:bottom w:val="nil"/>
              <w:right w:val="nil"/>
            </w:tcBorders>
            <w:shd w:val="clear" w:color="auto" w:fill="auto"/>
            <w:tcMar>
              <w:top w:w="80" w:type="dxa"/>
              <w:left w:w="80" w:type="dxa"/>
              <w:bottom w:w="80" w:type="dxa"/>
              <w:right w:w="80" w:type="dxa"/>
            </w:tcMar>
          </w:tcPr>
          <w:p w14:paraId="3F825FD1" w14:textId="77777777" w:rsidR="00137DF8" w:rsidRPr="0052012E" w:rsidRDefault="0024621C">
            <w:pPr>
              <w:pStyle w:val="Default"/>
              <w:rPr>
                <w:rFonts w:hint="eastAsia"/>
              </w:rPr>
            </w:pPr>
            <w:r w:rsidRPr="0052012E">
              <w:rPr>
                <w:rStyle w:val="None"/>
                <w:rFonts w:ascii="Times New Roman" w:hAnsi="Times New Roman"/>
                <w:u w:color="000000"/>
              </w:rPr>
              <w:t>15. Laboratoriskās izmeklēšanas rezultāti</w:t>
            </w:r>
          </w:p>
        </w:tc>
        <w:tc>
          <w:tcPr>
            <w:tcW w:w="5974" w:type="dxa"/>
            <w:gridSpan w:val="5"/>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7A29B23" w14:textId="77777777" w:rsidR="00137DF8" w:rsidRPr="0052012E" w:rsidRDefault="00137DF8">
            <w:pPr>
              <w:rPr>
                <w:sz w:val="20"/>
                <w:szCs w:val="20"/>
              </w:rPr>
            </w:pPr>
          </w:p>
        </w:tc>
      </w:tr>
      <w:tr w:rsidR="00137DF8" w:rsidRPr="0052012E" w14:paraId="7055B04D"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4BC21969" w14:textId="77777777" w:rsidR="00137DF8" w:rsidRPr="0052012E" w:rsidRDefault="00137DF8">
            <w:pPr>
              <w:rPr>
                <w:sz w:val="20"/>
                <w:szCs w:val="20"/>
              </w:rPr>
            </w:pPr>
          </w:p>
        </w:tc>
      </w:tr>
      <w:tr w:rsidR="00137DF8" w:rsidRPr="0052012E" w14:paraId="5BDF370B"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22596E0A" w14:textId="77777777" w:rsidR="00137DF8" w:rsidRPr="0052012E" w:rsidRDefault="0024621C">
            <w:pPr>
              <w:pStyle w:val="Default"/>
              <w:keepNext/>
              <w:jc w:val="center"/>
              <w:outlineLvl w:val="0"/>
              <w:rPr>
                <w:rFonts w:hint="eastAsia"/>
              </w:rPr>
            </w:pPr>
            <w:r w:rsidRPr="0052012E">
              <w:rPr>
                <w:rStyle w:val="None"/>
                <w:rFonts w:ascii="Times New Roman" w:hAnsi="Times New Roman"/>
                <w:b/>
                <w:bCs/>
                <w:u w:color="000000"/>
              </w:rPr>
              <w:t>IV. Īsa anamnēze par cietušo</w:t>
            </w:r>
          </w:p>
        </w:tc>
      </w:tr>
      <w:tr w:rsidR="00137DF8" w:rsidRPr="0052012E" w14:paraId="112D2EDD" w14:textId="77777777">
        <w:trPr>
          <w:trHeight w:val="452"/>
        </w:trPr>
        <w:tc>
          <w:tcPr>
            <w:tcW w:w="4675" w:type="dxa"/>
            <w:gridSpan w:val="7"/>
            <w:tcBorders>
              <w:top w:val="nil"/>
              <w:left w:val="nil"/>
              <w:bottom w:val="nil"/>
              <w:right w:val="nil"/>
            </w:tcBorders>
            <w:shd w:val="clear" w:color="auto" w:fill="auto"/>
            <w:tcMar>
              <w:top w:w="80" w:type="dxa"/>
              <w:left w:w="80" w:type="dxa"/>
              <w:bottom w:w="80" w:type="dxa"/>
              <w:right w:w="80" w:type="dxa"/>
            </w:tcMar>
          </w:tcPr>
          <w:p w14:paraId="1D4F90CB" w14:textId="77777777" w:rsidR="00137DF8" w:rsidRPr="0052012E" w:rsidRDefault="0024621C">
            <w:pPr>
              <w:pStyle w:val="Default"/>
              <w:rPr>
                <w:rFonts w:hint="eastAsia"/>
              </w:rPr>
            </w:pPr>
            <w:r w:rsidRPr="0052012E">
              <w:rPr>
                <w:rStyle w:val="None"/>
                <w:rFonts w:ascii="Times New Roman" w:hAnsi="Times New Roman"/>
                <w:u w:color="000000"/>
              </w:rPr>
              <w:t xml:space="preserve">16. Vai ir uzsākta antirabiskā vakcinācija citā iestādē? </w:t>
            </w:r>
          </w:p>
        </w:tc>
        <w:tc>
          <w:tcPr>
            <w:tcW w:w="5064"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10726F86" w14:textId="77777777" w:rsidR="00137DF8" w:rsidRPr="0052012E" w:rsidRDefault="00137DF8">
            <w:pPr>
              <w:rPr>
                <w:sz w:val="20"/>
                <w:szCs w:val="20"/>
              </w:rPr>
            </w:pPr>
          </w:p>
        </w:tc>
      </w:tr>
      <w:tr w:rsidR="00137DF8" w:rsidRPr="0052012E" w14:paraId="747A3086" w14:textId="77777777">
        <w:trPr>
          <w:trHeight w:val="45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0D6B9D32" w14:textId="77777777" w:rsidR="00137DF8" w:rsidRPr="0052012E" w:rsidRDefault="0024621C">
            <w:pPr>
              <w:pStyle w:val="Default"/>
              <w:rPr>
                <w:rFonts w:hint="eastAsia"/>
              </w:rPr>
            </w:pPr>
            <w:r w:rsidRPr="0052012E">
              <w:rPr>
                <w:rStyle w:val="None"/>
                <w:rFonts w:ascii="Times New Roman" w:hAnsi="Times New Roman"/>
                <w:u w:color="000000"/>
              </w:rPr>
              <w:t>17. Vai agrāk ir saņemta vakcinācija pret trakumsērgu un stingumkrampjiem? _____________________________</w:t>
            </w:r>
          </w:p>
        </w:tc>
      </w:tr>
      <w:tr w:rsidR="00137DF8" w:rsidRPr="0052012E" w14:paraId="5451D479" w14:textId="77777777">
        <w:trPr>
          <w:trHeight w:val="232"/>
        </w:trPr>
        <w:tc>
          <w:tcPr>
            <w:tcW w:w="9740" w:type="dxa"/>
            <w:gridSpan w:val="10"/>
            <w:tcBorders>
              <w:top w:val="nil"/>
              <w:left w:val="nil"/>
              <w:bottom w:val="nil"/>
              <w:right w:val="nil"/>
            </w:tcBorders>
            <w:shd w:val="clear" w:color="auto" w:fill="auto"/>
            <w:tcMar>
              <w:top w:w="80" w:type="dxa"/>
              <w:left w:w="260" w:type="dxa"/>
              <w:bottom w:w="80" w:type="dxa"/>
              <w:right w:w="80" w:type="dxa"/>
            </w:tcMar>
          </w:tcPr>
          <w:p w14:paraId="0EA468B6" w14:textId="77777777" w:rsidR="00137DF8" w:rsidRPr="0052012E" w:rsidRDefault="0024621C">
            <w:pPr>
              <w:pStyle w:val="Default"/>
              <w:ind w:left="180"/>
              <w:jc w:val="both"/>
              <w:rPr>
                <w:rFonts w:hint="eastAsia"/>
              </w:rPr>
            </w:pPr>
            <w:r w:rsidRPr="0052012E">
              <w:rPr>
                <w:rStyle w:val="None"/>
                <w:rFonts w:ascii="Times New Roman" w:hAnsi="Times New Roman"/>
                <w:u w:color="000000"/>
              </w:rPr>
              <w:t>  vakcinācijas datums (dd.mm.gggg)                                                                                ..</w:t>
            </w:r>
          </w:p>
        </w:tc>
      </w:tr>
      <w:tr w:rsidR="00137DF8" w:rsidRPr="009019B2" w14:paraId="4A6BB6AA" w14:textId="77777777">
        <w:trPr>
          <w:trHeight w:val="452"/>
        </w:trPr>
        <w:tc>
          <w:tcPr>
            <w:tcW w:w="3954" w:type="dxa"/>
            <w:gridSpan w:val="6"/>
            <w:tcBorders>
              <w:top w:val="nil"/>
              <w:left w:val="nil"/>
              <w:bottom w:val="nil"/>
              <w:right w:val="nil"/>
            </w:tcBorders>
            <w:shd w:val="clear" w:color="auto" w:fill="auto"/>
            <w:tcMar>
              <w:top w:w="80" w:type="dxa"/>
              <w:left w:w="80" w:type="dxa"/>
              <w:bottom w:w="80" w:type="dxa"/>
              <w:right w:w="80" w:type="dxa"/>
            </w:tcMar>
          </w:tcPr>
          <w:p w14:paraId="6251154C" w14:textId="77777777" w:rsidR="00137DF8" w:rsidRPr="0021328C" w:rsidRDefault="0024621C">
            <w:pPr>
              <w:pStyle w:val="Default"/>
              <w:rPr>
                <w:rFonts w:hint="eastAsia"/>
                <w:lang w:val="es-ES"/>
              </w:rPr>
            </w:pPr>
            <w:r w:rsidRPr="0021328C">
              <w:rPr>
                <w:rStyle w:val="None"/>
                <w:rFonts w:ascii="Times New Roman" w:hAnsi="Times New Roman"/>
                <w:u w:color="000000"/>
                <w:lang w:val="es-ES"/>
              </w:rPr>
              <w:t xml:space="preserve">18. Vai anamnēzē ir nervu sistēmas slimības? </w:t>
            </w:r>
          </w:p>
        </w:tc>
        <w:tc>
          <w:tcPr>
            <w:tcW w:w="5785" w:type="dxa"/>
            <w:gridSpan w:val="4"/>
            <w:tcBorders>
              <w:top w:val="nil"/>
              <w:left w:val="nil"/>
              <w:bottom w:val="single" w:sz="4" w:space="0" w:color="000000"/>
              <w:right w:val="nil"/>
            </w:tcBorders>
            <w:shd w:val="clear" w:color="auto" w:fill="auto"/>
            <w:tcMar>
              <w:top w:w="80" w:type="dxa"/>
              <w:left w:w="80" w:type="dxa"/>
              <w:bottom w:w="80" w:type="dxa"/>
              <w:right w:w="80" w:type="dxa"/>
            </w:tcMar>
          </w:tcPr>
          <w:p w14:paraId="5BAB01AA" w14:textId="77777777" w:rsidR="00137DF8" w:rsidRPr="0021328C" w:rsidRDefault="00137DF8">
            <w:pPr>
              <w:rPr>
                <w:sz w:val="20"/>
                <w:szCs w:val="20"/>
                <w:lang w:val="es-ES"/>
              </w:rPr>
            </w:pPr>
          </w:p>
        </w:tc>
      </w:tr>
      <w:tr w:rsidR="00137DF8" w:rsidRPr="009019B2" w14:paraId="317F9704" w14:textId="77777777">
        <w:trPr>
          <w:trHeight w:val="232"/>
        </w:trPr>
        <w:tc>
          <w:tcPr>
            <w:tcW w:w="3597" w:type="dxa"/>
            <w:gridSpan w:val="4"/>
            <w:tcBorders>
              <w:top w:val="nil"/>
              <w:left w:val="nil"/>
              <w:bottom w:val="nil"/>
              <w:right w:val="nil"/>
            </w:tcBorders>
            <w:shd w:val="clear" w:color="auto" w:fill="auto"/>
            <w:tcMar>
              <w:top w:w="80" w:type="dxa"/>
              <w:left w:w="80" w:type="dxa"/>
              <w:bottom w:w="80" w:type="dxa"/>
              <w:right w:w="80" w:type="dxa"/>
            </w:tcMar>
          </w:tcPr>
          <w:p w14:paraId="214B84C8" w14:textId="77777777" w:rsidR="00137DF8" w:rsidRPr="0021328C" w:rsidRDefault="0024621C">
            <w:pPr>
              <w:pStyle w:val="Default"/>
              <w:rPr>
                <w:rFonts w:hint="eastAsia"/>
                <w:lang w:val="es-ES"/>
              </w:rPr>
            </w:pPr>
            <w:r w:rsidRPr="0021328C">
              <w:rPr>
                <w:rStyle w:val="None"/>
                <w:rFonts w:ascii="Times New Roman" w:hAnsi="Times New Roman"/>
                <w:u w:color="000000"/>
                <w:lang w:val="es-ES"/>
              </w:rPr>
              <w:t xml:space="preserve">19. Vai anamnēzē ir alerģiskas slimības? </w:t>
            </w:r>
          </w:p>
        </w:tc>
        <w:tc>
          <w:tcPr>
            <w:tcW w:w="6142" w:type="dxa"/>
            <w:gridSpan w:val="6"/>
            <w:tcBorders>
              <w:top w:val="nil"/>
              <w:left w:val="nil"/>
              <w:bottom w:val="single" w:sz="4" w:space="0" w:color="000000"/>
              <w:right w:val="nil"/>
            </w:tcBorders>
            <w:shd w:val="clear" w:color="auto" w:fill="auto"/>
            <w:tcMar>
              <w:top w:w="80" w:type="dxa"/>
              <w:left w:w="80" w:type="dxa"/>
              <w:bottom w:w="80" w:type="dxa"/>
              <w:right w:w="80" w:type="dxa"/>
            </w:tcMar>
          </w:tcPr>
          <w:p w14:paraId="6931AB25" w14:textId="77777777" w:rsidR="00137DF8" w:rsidRPr="0021328C" w:rsidRDefault="00137DF8">
            <w:pPr>
              <w:rPr>
                <w:sz w:val="20"/>
                <w:szCs w:val="20"/>
                <w:lang w:val="es-ES"/>
              </w:rPr>
            </w:pPr>
          </w:p>
        </w:tc>
      </w:tr>
      <w:tr w:rsidR="00137DF8" w:rsidRPr="0052012E" w14:paraId="0CE163B4" w14:textId="77777777">
        <w:trPr>
          <w:trHeight w:val="23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06D12F80" w14:textId="77777777" w:rsidR="00137DF8" w:rsidRPr="0052012E" w:rsidRDefault="0024621C">
            <w:pPr>
              <w:pStyle w:val="Default"/>
              <w:rPr>
                <w:rFonts w:hint="eastAsia"/>
              </w:rPr>
            </w:pPr>
            <w:r w:rsidRPr="0052012E">
              <w:rPr>
                <w:rStyle w:val="None"/>
                <w:rFonts w:ascii="Times New Roman" w:hAnsi="Times New Roman"/>
                <w:u w:color="000000"/>
              </w:rPr>
              <w:t xml:space="preserve">20. Vai lieto glikokortikoīdus? </w:t>
            </w:r>
          </w:p>
        </w:tc>
        <w:tc>
          <w:tcPr>
            <w:tcW w:w="6703" w:type="dxa"/>
            <w:gridSpan w:val="7"/>
            <w:tcBorders>
              <w:top w:val="nil"/>
              <w:left w:val="nil"/>
              <w:bottom w:val="single" w:sz="4" w:space="0" w:color="000000"/>
              <w:right w:val="nil"/>
            </w:tcBorders>
            <w:shd w:val="clear" w:color="auto" w:fill="auto"/>
            <w:tcMar>
              <w:top w:w="80" w:type="dxa"/>
              <w:left w:w="80" w:type="dxa"/>
              <w:bottom w:w="80" w:type="dxa"/>
              <w:right w:w="80" w:type="dxa"/>
            </w:tcMar>
          </w:tcPr>
          <w:p w14:paraId="2217FA13" w14:textId="77777777" w:rsidR="00137DF8" w:rsidRPr="0052012E" w:rsidRDefault="00137DF8">
            <w:pPr>
              <w:rPr>
                <w:sz w:val="20"/>
                <w:szCs w:val="20"/>
              </w:rPr>
            </w:pPr>
          </w:p>
        </w:tc>
      </w:tr>
      <w:tr w:rsidR="00137DF8" w:rsidRPr="0052012E" w14:paraId="686D19E4" w14:textId="77777777">
        <w:trPr>
          <w:trHeight w:val="232"/>
        </w:trPr>
        <w:tc>
          <w:tcPr>
            <w:tcW w:w="3036" w:type="dxa"/>
            <w:gridSpan w:val="3"/>
            <w:tcBorders>
              <w:top w:val="nil"/>
              <w:left w:val="nil"/>
              <w:bottom w:val="nil"/>
              <w:right w:val="nil"/>
            </w:tcBorders>
            <w:shd w:val="clear" w:color="auto" w:fill="auto"/>
            <w:tcMar>
              <w:top w:w="80" w:type="dxa"/>
              <w:left w:w="80" w:type="dxa"/>
              <w:bottom w:w="80" w:type="dxa"/>
              <w:right w:w="80" w:type="dxa"/>
            </w:tcMar>
          </w:tcPr>
          <w:p w14:paraId="3DBA97BA" w14:textId="77777777" w:rsidR="00137DF8" w:rsidRPr="0052012E" w:rsidRDefault="0024621C">
            <w:pPr>
              <w:pStyle w:val="Default"/>
              <w:rPr>
                <w:rFonts w:hint="eastAsia"/>
              </w:rPr>
            </w:pPr>
            <w:r w:rsidRPr="0052012E">
              <w:rPr>
                <w:rStyle w:val="None"/>
                <w:rFonts w:ascii="Times New Roman" w:hAnsi="Times New Roman"/>
                <w:u w:color="000000"/>
              </w:rPr>
              <w:t>21. Vai lieto alkoholu, cik bieži?</w:t>
            </w:r>
          </w:p>
        </w:tc>
        <w:tc>
          <w:tcPr>
            <w:tcW w:w="6703" w:type="dxa"/>
            <w:gridSpan w:val="7"/>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A5BA246" w14:textId="77777777" w:rsidR="00137DF8" w:rsidRPr="0052012E" w:rsidRDefault="00137DF8">
            <w:pPr>
              <w:rPr>
                <w:sz w:val="20"/>
                <w:szCs w:val="20"/>
              </w:rPr>
            </w:pPr>
          </w:p>
        </w:tc>
      </w:tr>
      <w:tr w:rsidR="00137DF8" w:rsidRPr="0052012E" w14:paraId="01AA5AB0" w14:textId="77777777">
        <w:trPr>
          <w:trHeight w:val="232"/>
        </w:trPr>
        <w:tc>
          <w:tcPr>
            <w:tcW w:w="6122" w:type="dxa"/>
            <w:gridSpan w:val="8"/>
            <w:tcBorders>
              <w:top w:val="nil"/>
              <w:left w:val="nil"/>
              <w:bottom w:val="nil"/>
              <w:right w:val="nil"/>
            </w:tcBorders>
            <w:shd w:val="clear" w:color="auto" w:fill="auto"/>
            <w:tcMar>
              <w:top w:w="80" w:type="dxa"/>
              <w:left w:w="80" w:type="dxa"/>
              <w:bottom w:w="80" w:type="dxa"/>
              <w:right w:w="80" w:type="dxa"/>
            </w:tcMar>
          </w:tcPr>
          <w:p w14:paraId="3C871E17" w14:textId="77777777" w:rsidR="00137DF8" w:rsidRPr="0052012E" w:rsidRDefault="0024621C">
            <w:pPr>
              <w:pStyle w:val="Default"/>
              <w:rPr>
                <w:rFonts w:hint="eastAsia"/>
              </w:rPr>
            </w:pPr>
            <w:r w:rsidRPr="0052012E">
              <w:rPr>
                <w:rStyle w:val="None"/>
                <w:rFonts w:ascii="Times New Roman" w:hAnsi="Times New Roman"/>
                <w:u w:color="000000"/>
              </w:rPr>
              <w:t>22. Cietušā svars (ja tiek ievadīts imunoglobulīns) __________ kg</w:t>
            </w:r>
          </w:p>
        </w:tc>
        <w:tc>
          <w:tcPr>
            <w:tcW w:w="3617" w:type="dxa"/>
            <w:gridSpan w:val="2"/>
            <w:tcBorders>
              <w:top w:val="single" w:sz="4" w:space="0" w:color="000000"/>
              <w:left w:val="nil"/>
              <w:bottom w:val="nil"/>
              <w:right w:val="nil"/>
            </w:tcBorders>
            <w:shd w:val="clear" w:color="auto" w:fill="auto"/>
            <w:tcMar>
              <w:top w:w="80" w:type="dxa"/>
              <w:left w:w="80" w:type="dxa"/>
              <w:bottom w:w="80" w:type="dxa"/>
              <w:right w:w="80" w:type="dxa"/>
            </w:tcMar>
          </w:tcPr>
          <w:p w14:paraId="269A1F2A" w14:textId="77777777" w:rsidR="00137DF8" w:rsidRPr="0052012E" w:rsidRDefault="00137DF8">
            <w:pPr>
              <w:rPr>
                <w:sz w:val="20"/>
                <w:szCs w:val="20"/>
              </w:rPr>
            </w:pPr>
          </w:p>
        </w:tc>
      </w:tr>
      <w:tr w:rsidR="00137DF8" w:rsidRPr="0052012E" w14:paraId="7FE5B312"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7F65CFE6" w14:textId="77777777" w:rsidR="00137DF8" w:rsidRPr="0052012E" w:rsidRDefault="00137DF8">
            <w:pPr>
              <w:rPr>
                <w:sz w:val="20"/>
                <w:szCs w:val="20"/>
              </w:rPr>
            </w:pPr>
          </w:p>
        </w:tc>
      </w:tr>
      <w:tr w:rsidR="00137DF8" w:rsidRPr="0052012E" w14:paraId="53396F37" w14:textId="77777777">
        <w:trPr>
          <w:trHeight w:val="232"/>
        </w:trPr>
        <w:tc>
          <w:tcPr>
            <w:tcW w:w="9740" w:type="dxa"/>
            <w:gridSpan w:val="10"/>
            <w:tcBorders>
              <w:top w:val="nil"/>
              <w:left w:val="nil"/>
              <w:bottom w:val="nil"/>
              <w:right w:val="nil"/>
            </w:tcBorders>
            <w:shd w:val="clear" w:color="auto" w:fill="auto"/>
            <w:tcMar>
              <w:top w:w="80" w:type="dxa"/>
              <w:left w:w="80" w:type="dxa"/>
              <w:bottom w:w="80" w:type="dxa"/>
              <w:right w:w="80" w:type="dxa"/>
            </w:tcMar>
          </w:tcPr>
          <w:p w14:paraId="2A13C355" w14:textId="77777777" w:rsidR="00137DF8" w:rsidRPr="0052012E" w:rsidRDefault="0024621C">
            <w:pPr>
              <w:pStyle w:val="Default"/>
              <w:keepNext/>
              <w:jc w:val="center"/>
              <w:outlineLvl w:val="0"/>
              <w:rPr>
                <w:rFonts w:hint="eastAsia"/>
              </w:rPr>
            </w:pPr>
            <w:r w:rsidRPr="0052012E">
              <w:rPr>
                <w:rStyle w:val="None"/>
                <w:rFonts w:ascii="Times New Roman" w:hAnsi="Times New Roman"/>
                <w:b/>
                <w:bCs/>
                <w:u w:color="000000"/>
              </w:rPr>
              <w:t>V. Ārstēšana</w:t>
            </w:r>
          </w:p>
        </w:tc>
      </w:tr>
      <w:tr w:rsidR="00137DF8" w:rsidRPr="0052012E" w14:paraId="24A26440" w14:textId="77777777">
        <w:trPr>
          <w:trHeight w:val="232"/>
        </w:trPr>
        <w:tc>
          <w:tcPr>
            <w:tcW w:w="3597" w:type="dxa"/>
            <w:gridSpan w:val="4"/>
            <w:tcBorders>
              <w:top w:val="nil"/>
              <w:left w:val="nil"/>
              <w:bottom w:val="nil"/>
              <w:right w:val="nil"/>
            </w:tcBorders>
            <w:shd w:val="clear" w:color="auto" w:fill="auto"/>
            <w:tcMar>
              <w:top w:w="80" w:type="dxa"/>
              <w:left w:w="80" w:type="dxa"/>
              <w:bottom w:w="80" w:type="dxa"/>
              <w:right w:w="80" w:type="dxa"/>
            </w:tcMar>
          </w:tcPr>
          <w:p w14:paraId="5D6C7AED" w14:textId="77777777" w:rsidR="00137DF8" w:rsidRPr="0052012E" w:rsidRDefault="0024621C">
            <w:pPr>
              <w:pStyle w:val="Default"/>
              <w:rPr>
                <w:rFonts w:hint="eastAsia"/>
              </w:rPr>
            </w:pPr>
            <w:r w:rsidRPr="0052012E">
              <w:rPr>
                <w:rStyle w:val="None"/>
                <w:rFonts w:ascii="Times New Roman" w:hAnsi="Times New Roman"/>
                <w:u w:color="000000"/>
              </w:rPr>
              <w:t>23. Bojājuma vietas (brūces) apraksts</w:t>
            </w:r>
          </w:p>
        </w:tc>
        <w:tc>
          <w:tcPr>
            <w:tcW w:w="6142" w:type="dxa"/>
            <w:gridSpan w:val="6"/>
            <w:tcBorders>
              <w:top w:val="nil"/>
              <w:left w:val="nil"/>
              <w:bottom w:val="single" w:sz="4" w:space="0" w:color="000000"/>
              <w:right w:val="nil"/>
            </w:tcBorders>
            <w:shd w:val="clear" w:color="auto" w:fill="auto"/>
            <w:tcMar>
              <w:top w:w="80" w:type="dxa"/>
              <w:left w:w="80" w:type="dxa"/>
              <w:bottom w:w="80" w:type="dxa"/>
              <w:right w:w="80" w:type="dxa"/>
            </w:tcMar>
          </w:tcPr>
          <w:p w14:paraId="25B4D028" w14:textId="77777777" w:rsidR="00137DF8" w:rsidRPr="0052012E" w:rsidRDefault="00137DF8">
            <w:pPr>
              <w:rPr>
                <w:sz w:val="20"/>
                <w:szCs w:val="20"/>
              </w:rPr>
            </w:pPr>
          </w:p>
        </w:tc>
      </w:tr>
      <w:tr w:rsidR="00137DF8" w:rsidRPr="0052012E" w14:paraId="33CB424E" w14:textId="77777777">
        <w:trPr>
          <w:trHeight w:val="227"/>
        </w:trPr>
        <w:tc>
          <w:tcPr>
            <w:tcW w:w="3597" w:type="dxa"/>
            <w:gridSpan w:val="4"/>
            <w:tcBorders>
              <w:top w:val="nil"/>
              <w:left w:val="nil"/>
              <w:bottom w:val="single" w:sz="4" w:space="0" w:color="000000"/>
              <w:right w:val="nil"/>
            </w:tcBorders>
            <w:shd w:val="clear" w:color="auto" w:fill="auto"/>
            <w:tcMar>
              <w:top w:w="80" w:type="dxa"/>
              <w:left w:w="80" w:type="dxa"/>
              <w:bottom w:w="80" w:type="dxa"/>
              <w:right w:w="80" w:type="dxa"/>
            </w:tcMar>
          </w:tcPr>
          <w:p w14:paraId="04ECBD4D" w14:textId="77777777" w:rsidR="00137DF8" w:rsidRPr="0052012E" w:rsidRDefault="00137DF8">
            <w:pPr>
              <w:rPr>
                <w:sz w:val="20"/>
                <w:szCs w:val="20"/>
              </w:rPr>
            </w:pPr>
          </w:p>
        </w:tc>
        <w:tc>
          <w:tcPr>
            <w:tcW w:w="6142" w:type="dxa"/>
            <w:gridSpan w:val="6"/>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926E27B" w14:textId="77777777" w:rsidR="00137DF8" w:rsidRPr="0052012E" w:rsidRDefault="00137DF8">
            <w:pPr>
              <w:rPr>
                <w:sz w:val="20"/>
                <w:szCs w:val="20"/>
              </w:rPr>
            </w:pPr>
          </w:p>
        </w:tc>
      </w:tr>
      <w:tr w:rsidR="00137DF8" w:rsidRPr="0052012E" w14:paraId="0DF5F91A" w14:textId="77777777">
        <w:trPr>
          <w:trHeight w:val="222"/>
        </w:trPr>
        <w:tc>
          <w:tcPr>
            <w:tcW w:w="9740" w:type="dxa"/>
            <w:gridSpan w:val="10"/>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7BB77F7" w14:textId="77777777" w:rsidR="00137DF8" w:rsidRPr="0052012E" w:rsidRDefault="00137DF8">
            <w:pPr>
              <w:rPr>
                <w:sz w:val="20"/>
                <w:szCs w:val="20"/>
              </w:rPr>
            </w:pPr>
          </w:p>
        </w:tc>
      </w:tr>
    </w:tbl>
    <w:p w14:paraId="30622107" w14:textId="77777777" w:rsidR="00137DF8" w:rsidRPr="0052012E" w:rsidRDefault="00137DF8">
      <w:pPr>
        <w:pStyle w:val="Default"/>
        <w:spacing w:after="160" w:line="288" w:lineRule="auto"/>
        <w:jc w:val="both"/>
        <w:outlineLvl w:val="0"/>
        <w:rPr>
          <w:rStyle w:val="None"/>
          <w:rFonts w:hint="eastAsia"/>
          <w:u w:color="000000"/>
          <w14:textOutline w14:w="12700" w14:cap="flat" w14:cmpd="sng" w14:algn="ctr">
            <w14:noFill/>
            <w14:prstDash w14:val="solid"/>
            <w14:miter w14:lim="400000"/>
          </w14:textOutline>
        </w:rPr>
      </w:pPr>
    </w:p>
    <w:tbl>
      <w:tblPr>
        <w:tblW w:w="97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93"/>
        <w:gridCol w:w="730"/>
        <w:gridCol w:w="566"/>
        <w:gridCol w:w="977"/>
        <w:gridCol w:w="169"/>
        <w:gridCol w:w="188"/>
        <w:gridCol w:w="1205"/>
        <w:gridCol w:w="306"/>
        <w:gridCol w:w="176"/>
        <w:gridCol w:w="775"/>
        <w:gridCol w:w="181"/>
        <w:gridCol w:w="172"/>
        <w:gridCol w:w="863"/>
        <w:gridCol w:w="1026"/>
        <w:gridCol w:w="1512"/>
      </w:tblGrid>
      <w:tr w:rsidR="00137DF8" w:rsidRPr="0052012E" w14:paraId="357FC4EA" w14:textId="77777777">
        <w:trPr>
          <w:trHeight w:val="232"/>
        </w:trPr>
        <w:tc>
          <w:tcPr>
            <w:tcW w:w="3523" w:type="dxa"/>
            <w:gridSpan w:val="6"/>
            <w:tcBorders>
              <w:top w:val="nil"/>
              <w:left w:val="nil"/>
              <w:bottom w:val="nil"/>
              <w:right w:val="nil"/>
            </w:tcBorders>
            <w:shd w:val="clear" w:color="auto" w:fill="auto"/>
            <w:tcMar>
              <w:top w:w="80" w:type="dxa"/>
              <w:left w:w="80" w:type="dxa"/>
              <w:bottom w:w="80" w:type="dxa"/>
              <w:right w:w="80" w:type="dxa"/>
            </w:tcMar>
          </w:tcPr>
          <w:p w14:paraId="3F99E76E" w14:textId="77777777" w:rsidR="00137DF8" w:rsidRPr="0052012E" w:rsidRDefault="0024621C">
            <w:pPr>
              <w:pStyle w:val="Default"/>
              <w:rPr>
                <w:rFonts w:hint="eastAsia"/>
              </w:rPr>
            </w:pPr>
            <w:r w:rsidRPr="0052012E">
              <w:rPr>
                <w:rStyle w:val="None"/>
                <w:rFonts w:ascii="Times New Roman" w:hAnsi="Times New Roman"/>
                <w:u w:color="000000"/>
              </w:rPr>
              <w:t>24. Bojājuma vietas (brūces) apstrāde</w:t>
            </w:r>
          </w:p>
        </w:tc>
        <w:tc>
          <w:tcPr>
            <w:tcW w:w="6216" w:type="dxa"/>
            <w:gridSpan w:val="9"/>
            <w:tcBorders>
              <w:top w:val="nil"/>
              <w:left w:val="nil"/>
              <w:bottom w:val="nil"/>
              <w:right w:val="nil"/>
            </w:tcBorders>
            <w:shd w:val="clear" w:color="auto" w:fill="auto"/>
            <w:tcMar>
              <w:top w:w="80" w:type="dxa"/>
              <w:left w:w="80" w:type="dxa"/>
              <w:bottom w:w="80" w:type="dxa"/>
              <w:right w:w="80" w:type="dxa"/>
            </w:tcMar>
          </w:tcPr>
          <w:p w14:paraId="0E50314B" w14:textId="77777777" w:rsidR="00137DF8" w:rsidRPr="0052012E" w:rsidRDefault="00137DF8">
            <w:pPr>
              <w:rPr>
                <w:sz w:val="20"/>
                <w:szCs w:val="20"/>
              </w:rPr>
            </w:pPr>
          </w:p>
        </w:tc>
      </w:tr>
      <w:tr w:rsidR="00137DF8" w:rsidRPr="0052012E" w14:paraId="2AA0CDA2" w14:textId="77777777">
        <w:trPr>
          <w:trHeight w:val="447"/>
        </w:trPr>
        <w:tc>
          <w:tcPr>
            <w:tcW w:w="9739" w:type="dxa"/>
            <w:gridSpan w:val="15"/>
            <w:tcBorders>
              <w:top w:val="nil"/>
              <w:left w:val="nil"/>
              <w:bottom w:val="single" w:sz="4" w:space="0" w:color="000000"/>
              <w:right w:val="nil"/>
            </w:tcBorders>
            <w:shd w:val="clear" w:color="auto" w:fill="auto"/>
            <w:tcMar>
              <w:top w:w="80" w:type="dxa"/>
              <w:left w:w="80" w:type="dxa"/>
              <w:bottom w:w="80" w:type="dxa"/>
              <w:right w:w="80" w:type="dxa"/>
            </w:tcMar>
          </w:tcPr>
          <w:p w14:paraId="01B22778" w14:textId="77777777" w:rsidR="00137DF8" w:rsidRPr="0052012E" w:rsidRDefault="0024621C">
            <w:pPr>
              <w:pStyle w:val="Default"/>
              <w:rPr>
                <w:rFonts w:hint="eastAsia"/>
              </w:rPr>
            </w:pPr>
            <w:r w:rsidRPr="0052012E">
              <w:rPr>
                <w:rStyle w:val="None"/>
                <w:rFonts w:ascii="Times New Roman" w:hAnsi="Times New Roman"/>
                <w:u w:color="000000"/>
              </w:rPr>
              <w:t xml:space="preserve">25. Antirabiskais imunoglobulīns (nosaukums, datums, deva, titrs, sērijas numurs) </w:t>
            </w:r>
          </w:p>
        </w:tc>
      </w:tr>
      <w:tr w:rsidR="00137DF8" w:rsidRPr="0052012E" w14:paraId="1AE47C2A" w14:textId="77777777">
        <w:trPr>
          <w:trHeight w:val="227"/>
        </w:trPr>
        <w:tc>
          <w:tcPr>
            <w:tcW w:w="9739" w:type="dxa"/>
            <w:gridSpan w:val="15"/>
            <w:tcBorders>
              <w:top w:val="single" w:sz="4" w:space="0" w:color="000000"/>
              <w:left w:val="nil"/>
              <w:bottom w:val="nil"/>
              <w:right w:val="nil"/>
            </w:tcBorders>
            <w:shd w:val="clear" w:color="auto" w:fill="auto"/>
            <w:tcMar>
              <w:top w:w="80" w:type="dxa"/>
              <w:left w:w="80" w:type="dxa"/>
              <w:bottom w:w="80" w:type="dxa"/>
              <w:right w:w="80" w:type="dxa"/>
            </w:tcMar>
          </w:tcPr>
          <w:p w14:paraId="75FD8BAE" w14:textId="77777777" w:rsidR="00137DF8" w:rsidRPr="0052012E" w:rsidRDefault="0024621C">
            <w:pPr>
              <w:pStyle w:val="Default"/>
              <w:rPr>
                <w:rFonts w:hint="eastAsia"/>
              </w:rPr>
            </w:pPr>
            <w:r w:rsidRPr="0052012E">
              <w:rPr>
                <w:rStyle w:val="None"/>
                <w:rFonts w:ascii="Times New Roman" w:hAnsi="Times New Roman"/>
                <w:u w:color="000000"/>
              </w:rPr>
              <w:t>26. Nozīmētas potes pret trakumsērgu:</w:t>
            </w:r>
          </w:p>
        </w:tc>
      </w:tr>
      <w:tr w:rsidR="00137DF8" w:rsidRPr="0052012E" w14:paraId="1D68AF3C" w14:textId="77777777">
        <w:trPr>
          <w:trHeight w:val="232"/>
        </w:trPr>
        <w:tc>
          <w:tcPr>
            <w:tcW w:w="3335" w:type="dxa"/>
            <w:gridSpan w:val="5"/>
            <w:tcBorders>
              <w:top w:val="nil"/>
              <w:left w:val="nil"/>
              <w:bottom w:val="nil"/>
              <w:right w:val="nil"/>
            </w:tcBorders>
            <w:shd w:val="clear" w:color="auto" w:fill="auto"/>
            <w:tcMar>
              <w:top w:w="80" w:type="dxa"/>
              <w:left w:w="80" w:type="dxa"/>
              <w:bottom w:w="80" w:type="dxa"/>
              <w:right w:w="80" w:type="dxa"/>
            </w:tcMar>
          </w:tcPr>
          <w:p w14:paraId="4A7C04BD" w14:textId="77777777" w:rsidR="00137DF8" w:rsidRPr="0052012E" w:rsidRDefault="0024621C">
            <w:pPr>
              <w:pStyle w:val="Default"/>
              <w:rPr>
                <w:rFonts w:hint="eastAsia"/>
              </w:rPr>
            </w:pPr>
            <w:r w:rsidRPr="0052012E">
              <w:rPr>
                <w:rStyle w:val="None"/>
                <w:rFonts w:ascii="Times New Roman" w:hAnsi="Times New Roman"/>
                <w:u w:color="000000"/>
              </w:rPr>
              <w:t xml:space="preserve">26.1. vakcīna (nosaukums, ražotājs) </w:t>
            </w:r>
          </w:p>
        </w:tc>
        <w:tc>
          <w:tcPr>
            <w:tcW w:w="6404" w:type="dxa"/>
            <w:gridSpan w:val="10"/>
            <w:tcBorders>
              <w:top w:val="nil"/>
              <w:left w:val="nil"/>
              <w:bottom w:val="single" w:sz="4" w:space="0" w:color="000000"/>
              <w:right w:val="nil"/>
            </w:tcBorders>
            <w:shd w:val="clear" w:color="auto" w:fill="auto"/>
            <w:tcMar>
              <w:top w:w="80" w:type="dxa"/>
              <w:left w:w="80" w:type="dxa"/>
              <w:bottom w:w="80" w:type="dxa"/>
              <w:right w:w="80" w:type="dxa"/>
            </w:tcMar>
          </w:tcPr>
          <w:p w14:paraId="12CEAA51" w14:textId="77777777" w:rsidR="00137DF8" w:rsidRPr="0052012E" w:rsidRDefault="00137DF8">
            <w:pPr>
              <w:rPr>
                <w:sz w:val="20"/>
                <w:szCs w:val="20"/>
              </w:rPr>
            </w:pPr>
          </w:p>
        </w:tc>
      </w:tr>
      <w:tr w:rsidR="00137DF8" w:rsidRPr="0052012E" w14:paraId="51E70C89" w14:textId="77777777">
        <w:trPr>
          <w:trHeight w:val="232"/>
        </w:trPr>
        <w:tc>
          <w:tcPr>
            <w:tcW w:w="6338" w:type="dxa"/>
            <w:gridSpan w:val="12"/>
            <w:tcBorders>
              <w:top w:val="nil"/>
              <w:left w:val="nil"/>
              <w:bottom w:val="nil"/>
              <w:right w:val="nil"/>
            </w:tcBorders>
            <w:shd w:val="clear" w:color="auto" w:fill="auto"/>
            <w:tcMar>
              <w:top w:w="80" w:type="dxa"/>
              <w:left w:w="80" w:type="dxa"/>
              <w:bottom w:w="80" w:type="dxa"/>
              <w:right w:w="80" w:type="dxa"/>
            </w:tcMar>
          </w:tcPr>
          <w:p w14:paraId="5417410D" w14:textId="77777777" w:rsidR="00137DF8" w:rsidRPr="0052012E" w:rsidRDefault="0024621C">
            <w:pPr>
              <w:pStyle w:val="Default"/>
              <w:rPr>
                <w:rFonts w:hint="eastAsia"/>
              </w:rPr>
            </w:pPr>
            <w:r w:rsidRPr="0052012E">
              <w:rPr>
                <w:rStyle w:val="None"/>
                <w:rFonts w:ascii="Times New Roman" w:hAnsi="Times New Roman"/>
                <w:u w:color="000000"/>
              </w:rPr>
              <w:t>26.2. vakcinācijas kursa ilgums ________________________________</w:t>
            </w:r>
          </w:p>
        </w:tc>
        <w:tc>
          <w:tcPr>
            <w:tcW w:w="3401" w:type="dxa"/>
            <w:gridSpan w:val="3"/>
            <w:tcBorders>
              <w:top w:val="single" w:sz="4" w:space="0" w:color="000000"/>
              <w:left w:val="nil"/>
              <w:bottom w:val="nil"/>
              <w:right w:val="nil"/>
            </w:tcBorders>
            <w:shd w:val="clear" w:color="auto" w:fill="auto"/>
            <w:tcMar>
              <w:top w:w="80" w:type="dxa"/>
              <w:left w:w="80" w:type="dxa"/>
              <w:bottom w:w="80" w:type="dxa"/>
              <w:right w:w="80" w:type="dxa"/>
            </w:tcMar>
          </w:tcPr>
          <w:p w14:paraId="1B2768AA" w14:textId="77777777" w:rsidR="00137DF8" w:rsidRPr="0052012E" w:rsidRDefault="00137DF8">
            <w:pPr>
              <w:rPr>
                <w:sz w:val="20"/>
                <w:szCs w:val="20"/>
              </w:rPr>
            </w:pPr>
          </w:p>
        </w:tc>
      </w:tr>
      <w:tr w:rsidR="00137DF8" w:rsidRPr="0052012E" w14:paraId="517054D5" w14:textId="77777777">
        <w:trPr>
          <w:trHeight w:val="232"/>
        </w:trPr>
        <w:tc>
          <w:tcPr>
            <w:tcW w:w="5210" w:type="dxa"/>
            <w:gridSpan w:val="9"/>
            <w:tcBorders>
              <w:top w:val="nil"/>
              <w:left w:val="nil"/>
              <w:bottom w:val="nil"/>
              <w:right w:val="nil"/>
            </w:tcBorders>
            <w:shd w:val="clear" w:color="auto" w:fill="auto"/>
            <w:tcMar>
              <w:top w:w="80" w:type="dxa"/>
              <w:left w:w="80" w:type="dxa"/>
              <w:bottom w:w="80" w:type="dxa"/>
              <w:right w:w="80" w:type="dxa"/>
            </w:tcMar>
          </w:tcPr>
          <w:p w14:paraId="27D8C840" w14:textId="77777777" w:rsidR="00137DF8" w:rsidRPr="0052012E" w:rsidRDefault="0024621C">
            <w:pPr>
              <w:pStyle w:val="Default"/>
              <w:rPr>
                <w:rFonts w:hint="eastAsia"/>
              </w:rPr>
            </w:pPr>
            <w:r w:rsidRPr="0052012E">
              <w:rPr>
                <w:rStyle w:val="None"/>
                <w:rFonts w:ascii="Times New Roman" w:hAnsi="Times New Roman"/>
                <w:u w:color="000000"/>
              </w:rPr>
              <w:t>26.3. nozīmētais režīms (ārstēšana stacionārā, ambulatori)</w:t>
            </w:r>
          </w:p>
        </w:tc>
        <w:tc>
          <w:tcPr>
            <w:tcW w:w="4529" w:type="dxa"/>
            <w:gridSpan w:val="6"/>
            <w:tcBorders>
              <w:top w:val="nil"/>
              <w:left w:val="nil"/>
              <w:bottom w:val="single" w:sz="4" w:space="0" w:color="000000"/>
              <w:right w:val="nil"/>
            </w:tcBorders>
            <w:shd w:val="clear" w:color="auto" w:fill="auto"/>
            <w:tcMar>
              <w:top w:w="80" w:type="dxa"/>
              <w:left w:w="80" w:type="dxa"/>
              <w:bottom w:w="80" w:type="dxa"/>
              <w:right w:w="80" w:type="dxa"/>
            </w:tcMar>
          </w:tcPr>
          <w:p w14:paraId="428708FB" w14:textId="77777777" w:rsidR="00137DF8" w:rsidRPr="0052012E" w:rsidRDefault="00137DF8">
            <w:pPr>
              <w:rPr>
                <w:sz w:val="20"/>
                <w:szCs w:val="20"/>
              </w:rPr>
            </w:pPr>
          </w:p>
        </w:tc>
      </w:tr>
      <w:tr w:rsidR="00137DF8" w:rsidRPr="0052012E" w14:paraId="11032B25" w14:textId="77777777">
        <w:trPr>
          <w:trHeight w:val="67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5D734C70" w14:textId="77777777" w:rsidR="00137DF8" w:rsidRPr="0052012E" w:rsidRDefault="0024621C">
            <w:pPr>
              <w:pStyle w:val="Default"/>
              <w:rPr>
                <w:rStyle w:val="None"/>
                <w:rFonts w:ascii="Times New Roman" w:eastAsia="Times New Roman" w:hAnsi="Times New Roman" w:cs="Times New Roman"/>
                <w:u w:color="000000"/>
              </w:rPr>
            </w:pPr>
            <w:r w:rsidRPr="0052012E">
              <w:rPr>
                <w:rStyle w:val="None"/>
                <w:rFonts w:ascii="Times New Roman" w:hAnsi="Times New Roman"/>
                <w:u w:color="000000"/>
              </w:rPr>
              <w:t>27. Imunizācija pret stingumkrampjiem:</w:t>
            </w:r>
          </w:p>
          <w:p w14:paraId="2B485575" w14:textId="77777777" w:rsidR="00137DF8" w:rsidRPr="0052012E" w:rsidRDefault="0024621C">
            <w:pPr>
              <w:pStyle w:val="Default"/>
              <w:rPr>
                <w:rFonts w:hint="eastAsia"/>
              </w:rPr>
            </w:pPr>
            <w:r w:rsidRPr="0052012E">
              <w:rPr>
                <w:rStyle w:val="None"/>
                <w:rFonts w:ascii="Times New Roman" w:hAnsi="Times New Roman"/>
                <w:u w:color="000000"/>
              </w:rPr>
              <w:t>27.1. preparāts (nosaukums, ražotājs) ______________________________________________________________</w:t>
            </w:r>
          </w:p>
        </w:tc>
      </w:tr>
      <w:tr w:rsidR="00137DF8" w:rsidRPr="0052012E" w14:paraId="30191AD4" w14:textId="77777777">
        <w:trPr>
          <w:trHeight w:val="232"/>
        </w:trPr>
        <w:tc>
          <w:tcPr>
            <w:tcW w:w="6338" w:type="dxa"/>
            <w:gridSpan w:val="12"/>
            <w:tcBorders>
              <w:top w:val="nil"/>
              <w:left w:val="nil"/>
              <w:bottom w:val="nil"/>
              <w:right w:val="nil"/>
            </w:tcBorders>
            <w:shd w:val="clear" w:color="auto" w:fill="auto"/>
            <w:tcMar>
              <w:top w:w="80" w:type="dxa"/>
              <w:left w:w="80" w:type="dxa"/>
              <w:bottom w:w="80" w:type="dxa"/>
              <w:right w:w="80" w:type="dxa"/>
            </w:tcMar>
          </w:tcPr>
          <w:p w14:paraId="419AE26A" w14:textId="77777777" w:rsidR="00137DF8" w:rsidRPr="0052012E" w:rsidRDefault="0024621C">
            <w:pPr>
              <w:pStyle w:val="Default"/>
              <w:rPr>
                <w:rFonts w:hint="eastAsia"/>
              </w:rPr>
            </w:pPr>
            <w:r w:rsidRPr="0052012E">
              <w:rPr>
                <w:rStyle w:val="None"/>
                <w:rFonts w:ascii="Times New Roman" w:hAnsi="Times New Roman"/>
                <w:u w:color="000000"/>
              </w:rPr>
              <w:t>27.2. imunizācijas kursa ilgums ________________________________</w:t>
            </w:r>
          </w:p>
        </w:tc>
        <w:tc>
          <w:tcPr>
            <w:tcW w:w="3401" w:type="dxa"/>
            <w:gridSpan w:val="3"/>
            <w:tcBorders>
              <w:top w:val="nil"/>
              <w:left w:val="nil"/>
              <w:bottom w:val="nil"/>
              <w:right w:val="nil"/>
            </w:tcBorders>
            <w:shd w:val="clear" w:color="auto" w:fill="auto"/>
            <w:tcMar>
              <w:top w:w="80" w:type="dxa"/>
              <w:left w:w="80" w:type="dxa"/>
              <w:bottom w:w="80" w:type="dxa"/>
              <w:right w:w="80" w:type="dxa"/>
            </w:tcMar>
          </w:tcPr>
          <w:p w14:paraId="6DECCA48" w14:textId="77777777" w:rsidR="00137DF8" w:rsidRPr="0052012E" w:rsidRDefault="00137DF8">
            <w:pPr>
              <w:rPr>
                <w:sz w:val="20"/>
                <w:szCs w:val="20"/>
              </w:rPr>
            </w:pPr>
          </w:p>
        </w:tc>
      </w:tr>
      <w:tr w:rsidR="00137DF8" w:rsidRPr="0021328C" w14:paraId="5381FDAA" w14:textId="77777777">
        <w:trPr>
          <w:trHeight w:val="71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4E26F56E" w14:textId="77777777" w:rsidR="00137DF8" w:rsidRPr="0021328C" w:rsidRDefault="00137DF8">
            <w:pPr>
              <w:pStyle w:val="Default"/>
              <w:rPr>
                <w:rStyle w:val="None"/>
                <w:rFonts w:ascii="Times New Roman" w:eastAsia="Times New Roman" w:hAnsi="Times New Roman" w:cs="Times New Roman"/>
                <w:u w:color="000000"/>
                <w:lang w:val="fr-FR"/>
              </w:rPr>
            </w:pPr>
          </w:p>
          <w:p w14:paraId="47A26290" w14:textId="77777777" w:rsidR="00137DF8" w:rsidRPr="0021328C" w:rsidRDefault="0024621C">
            <w:pPr>
              <w:pStyle w:val="Default"/>
              <w:rPr>
                <w:rStyle w:val="None"/>
                <w:rFonts w:ascii="Times New Roman" w:eastAsia="Times New Roman" w:hAnsi="Times New Roman" w:cs="Times New Roman"/>
                <w:u w:color="000000"/>
                <w:lang w:val="fr-FR"/>
              </w:rPr>
            </w:pPr>
            <w:r w:rsidRPr="0021328C">
              <w:rPr>
                <w:rStyle w:val="None"/>
                <w:rFonts w:ascii="Times New Roman" w:hAnsi="Times New Roman"/>
                <w:u w:color="000000"/>
                <w:lang w:val="fr-FR"/>
              </w:rPr>
              <w:t>28. Ārsts ____________________________________________________________________________________</w:t>
            </w:r>
          </w:p>
          <w:p w14:paraId="3BAC13D7" w14:textId="77777777" w:rsidR="00137DF8" w:rsidRPr="0021328C" w:rsidRDefault="0024621C">
            <w:pPr>
              <w:pStyle w:val="Default"/>
              <w:rPr>
                <w:rFonts w:hint="eastAsia"/>
                <w:lang w:val="fr-FR"/>
              </w:rPr>
            </w:pPr>
            <w:r w:rsidRPr="0021328C">
              <w:rPr>
                <w:rStyle w:val="None"/>
                <w:rFonts w:ascii="Times New Roman" w:hAnsi="Times New Roman"/>
                <w:u w:color="000000"/>
                <w:lang w:val="fr-FR"/>
              </w:rPr>
              <w:t xml:space="preserve">                                                                                  (paraksts un personīgais spiedogs)</w:t>
            </w:r>
          </w:p>
        </w:tc>
      </w:tr>
      <w:tr w:rsidR="00137DF8" w:rsidRPr="0052012E" w14:paraId="758DBBFE" w14:textId="77777777">
        <w:trPr>
          <w:trHeight w:val="23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3CED4570" w14:textId="77777777" w:rsidR="00137DF8" w:rsidRPr="0052012E" w:rsidRDefault="0024621C">
            <w:pPr>
              <w:pStyle w:val="Default"/>
              <w:rPr>
                <w:rFonts w:hint="eastAsia"/>
              </w:rPr>
            </w:pPr>
            <w:r w:rsidRPr="0052012E">
              <w:rPr>
                <w:rStyle w:val="None"/>
                <w:rFonts w:ascii="Times New Roman" w:hAnsi="Times New Roman"/>
                <w:u w:color="000000"/>
              </w:rPr>
              <w:t xml:space="preserve">29. Pacienta  paraksts, kas  apliecina, ka  viņš  ir  informēts  par  imunizācijas  norisi, lietderīgumu,  sekām,  to </w:t>
            </w:r>
          </w:p>
        </w:tc>
      </w:tr>
      <w:tr w:rsidR="00137DF8" w:rsidRPr="0052012E" w14:paraId="172A7C06" w14:textId="77777777">
        <w:trPr>
          <w:trHeight w:val="232"/>
        </w:trPr>
        <w:tc>
          <w:tcPr>
            <w:tcW w:w="5034" w:type="dxa"/>
            <w:gridSpan w:val="8"/>
            <w:tcBorders>
              <w:top w:val="nil"/>
              <w:left w:val="nil"/>
              <w:bottom w:val="nil"/>
              <w:right w:val="nil"/>
            </w:tcBorders>
            <w:shd w:val="clear" w:color="auto" w:fill="auto"/>
            <w:tcMar>
              <w:top w:w="80" w:type="dxa"/>
              <w:left w:w="80" w:type="dxa"/>
              <w:bottom w:w="80" w:type="dxa"/>
              <w:right w:w="80" w:type="dxa"/>
            </w:tcMar>
          </w:tcPr>
          <w:p w14:paraId="5971E51A" w14:textId="77777777" w:rsidR="00137DF8" w:rsidRPr="0052012E" w:rsidRDefault="0024621C">
            <w:pPr>
              <w:pStyle w:val="Default"/>
              <w:rPr>
                <w:rFonts w:hint="eastAsia"/>
              </w:rPr>
            </w:pPr>
            <w:r w:rsidRPr="0052012E">
              <w:rPr>
                <w:rStyle w:val="None"/>
                <w:rFonts w:ascii="Times New Roman" w:hAnsi="Times New Roman"/>
                <w:u w:color="000000"/>
              </w:rPr>
              <w:t xml:space="preserve">pārtraucot, nepieciešamību ievērot vakcinācijas shēmu </w:t>
            </w:r>
          </w:p>
        </w:tc>
        <w:tc>
          <w:tcPr>
            <w:tcW w:w="4705" w:type="dxa"/>
            <w:gridSpan w:val="7"/>
            <w:tcBorders>
              <w:top w:val="nil"/>
              <w:left w:val="nil"/>
              <w:bottom w:val="single" w:sz="4" w:space="0" w:color="000000"/>
              <w:right w:val="nil"/>
            </w:tcBorders>
            <w:shd w:val="clear" w:color="auto" w:fill="auto"/>
            <w:tcMar>
              <w:top w:w="80" w:type="dxa"/>
              <w:left w:w="80" w:type="dxa"/>
              <w:bottom w:w="80" w:type="dxa"/>
              <w:right w:w="80" w:type="dxa"/>
            </w:tcMar>
          </w:tcPr>
          <w:p w14:paraId="016EEA98" w14:textId="77777777" w:rsidR="00137DF8" w:rsidRPr="0052012E" w:rsidRDefault="00137DF8">
            <w:pPr>
              <w:rPr>
                <w:sz w:val="20"/>
                <w:szCs w:val="20"/>
              </w:rPr>
            </w:pPr>
          </w:p>
        </w:tc>
      </w:tr>
      <w:tr w:rsidR="00137DF8" w:rsidRPr="0052012E" w14:paraId="0694311F" w14:textId="77777777">
        <w:trPr>
          <w:trHeight w:val="447"/>
        </w:trPr>
        <w:tc>
          <w:tcPr>
            <w:tcW w:w="9739" w:type="dxa"/>
            <w:gridSpan w:val="15"/>
            <w:tcBorders>
              <w:top w:val="nil"/>
              <w:left w:val="nil"/>
              <w:bottom w:val="single" w:sz="4" w:space="0" w:color="000000"/>
              <w:right w:val="nil"/>
            </w:tcBorders>
            <w:shd w:val="clear" w:color="auto" w:fill="auto"/>
            <w:tcMar>
              <w:top w:w="80" w:type="dxa"/>
              <w:left w:w="80" w:type="dxa"/>
              <w:bottom w:w="80" w:type="dxa"/>
              <w:right w:w="80" w:type="dxa"/>
            </w:tcMar>
          </w:tcPr>
          <w:p w14:paraId="53E4AB80" w14:textId="77777777" w:rsidR="00137DF8" w:rsidRPr="0052012E" w:rsidRDefault="0024621C">
            <w:pPr>
              <w:pStyle w:val="Default"/>
              <w:rPr>
                <w:rFonts w:hint="eastAsia"/>
              </w:rPr>
            </w:pPr>
            <w:r w:rsidRPr="0052012E">
              <w:rPr>
                <w:rStyle w:val="None"/>
                <w:rFonts w:ascii="Times New Roman" w:hAnsi="Times New Roman"/>
                <w:u w:color="000000"/>
              </w:rPr>
              <w:t>30. Imunizācijas izraisītie sarežģījumi/blakusparādības (īss, apkopojošs izraksts no stacionārā pacienta medicīniskās kartes (veidlapa Nr.025/u) vai ambulatorā pacienta medicīniskās kartes (veidlapa Nr.003/u))</w:t>
            </w:r>
          </w:p>
        </w:tc>
      </w:tr>
      <w:tr w:rsidR="00137DF8" w:rsidRPr="0052012E" w14:paraId="24FF35FB" w14:textId="77777777">
        <w:trPr>
          <w:trHeight w:val="222"/>
        </w:trPr>
        <w:tc>
          <w:tcPr>
            <w:tcW w:w="9739" w:type="dxa"/>
            <w:gridSpan w:val="15"/>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E2D255C" w14:textId="77777777" w:rsidR="00137DF8" w:rsidRPr="0052012E" w:rsidRDefault="00137DF8">
            <w:pPr>
              <w:rPr>
                <w:sz w:val="20"/>
                <w:szCs w:val="20"/>
              </w:rPr>
            </w:pPr>
          </w:p>
        </w:tc>
      </w:tr>
      <w:tr w:rsidR="00137DF8" w:rsidRPr="0052012E" w14:paraId="78D6EF25" w14:textId="77777777">
        <w:trPr>
          <w:trHeight w:val="222"/>
        </w:trPr>
        <w:tc>
          <w:tcPr>
            <w:tcW w:w="9739" w:type="dxa"/>
            <w:gridSpan w:val="15"/>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DC6A5E3" w14:textId="77777777" w:rsidR="00137DF8" w:rsidRPr="0052012E" w:rsidRDefault="00137DF8">
            <w:pPr>
              <w:rPr>
                <w:sz w:val="20"/>
                <w:szCs w:val="20"/>
              </w:rPr>
            </w:pPr>
          </w:p>
        </w:tc>
      </w:tr>
      <w:tr w:rsidR="00137DF8" w:rsidRPr="0052012E" w14:paraId="11A1B2BA" w14:textId="77777777">
        <w:trPr>
          <w:trHeight w:val="227"/>
        </w:trPr>
        <w:tc>
          <w:tcPr>
            <w:tcW w:w="9739" w:type="dxa"/>
            <w:gridSpan w:val="15"/>
            <w:tcBorders>
              <w:top w:val="single" w:sz="4" w:space="0" w:color="000000"/>
              <w:left w:val="nil"/>
              <w:bottom w:val="nil"/>
              <w:right w:val="nil"/>
            </w:tcBorders>
            <w:shd w:val="clear" w:color="auto" w:fill="auto"/>
            <w:tcMar>
              <w:top w:w="80" w:type="dxa"/>
              <w:left w:w="80" w:type="dxa"/>
              <w:bottom w:w="80" w:type="dxa"/>
              <w:right w:w="80" w:type="dxa"/>
            </w:tcMar>
          </w:tcPr>
          <w:p w14:paraId="68A15E0B" w14:textId="77777777" w:rsidR="00137DF8" w:rsidRPr="0052012E" w:rsidRDefault="00137DF8">
            <w:pPr>
              <w:rPr>
                <w:sz w:val="20"/>
                <w:szCs w:val="20"/>
              </w:rPr>
            </w:pPr>
          </w:p>
        </w:tc>
      </w:tr>
      <w:tr w:rsidR="00137DF8" w:rsidRPr="0052012E" w14:paraId="0527E518" w14:textId="77777777">
        <w:trPr>
          <w:trHeight w:val="23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03523E2D" w14:textId="77777777" w:rsidR="00137DF8" w:rsidRPr="0052012E" w:rsidRDefault="0024621C">
            <w:pPr>
              <w:pStyle w:val="Default"/>
              <w:keepNext/>
              <w:jc w:val="center"/>
              <w:outlineLvl w:val="0"/>
              <w:rPr>
                <w:rFonts w:hint="eastAsia"/>
              </w:rPr>
            </w:pPr>
            <w:r w:rsidRPr="0052012E">
              <w:rPr>
                <w:rStyle w:val="None"/>
                <w:rFonts w:ascii="Times New Roman" w:hAnsi="Times New Roman"/>
                <w:b/>
                <w:bCs/>
                <w:u w:color="000000"/>
              </w:rPr>
              <w:t>VI. Vakcinācijas pārtraukšanas iemesli</w:t>
            </w:r>
          </w:p>
        </w:tc>
      </w:tr>
      <w:tr w:rsidR="00137DF8" w:rsidRPr="0052012E" w14:paraId="38D696DF" w14:textId="77777777">
        <w:trPr>
          <w:trHeight w:val="45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668C8BA8" w14:textId="77777777" w:rsidR="00137DF8" w:rsidRPr="0052012E" w:rsidRDefault="0024621C">
            <w:pPr>
              <w:pStyle w:val="Default"/>
              <w:rPr>
                <w:rFonts w:hint="eastAsia"/>
              </w:rPr>
            </w:pPr>
            <w:r w:rsidRPr="0052012E">
              <w:rPr>
                <w:rStyle w:val="None"/>
                <w:rFonts w:ascii="Times New Roman" w:hAnsi="Times New Roman"/>
                <w:u w:color="000000"/>
              </w:rPr>
              <w:t>31. Dzīvnieks palicis vesels 15 dienu novērošanas laikā (veterinārārsta atzinuma numurs) ____________________</w:t>
            </w:r>
          </w:p>
        </w:tc>
      </w:tr>
      <w:tr w:rsidR="00137DF8" w:rsidRPr="0052012E" w14:paraId="48A83D40" w14:textId="77777777">
        <w:trPr>
          <w:trHeight w:val="318"/>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1B66B451" w14:textId="77777777" w:rsidR="00137DF8" w:rsidRPr="0052012E" w:rsidRDefault="00137DF8">
            <w:pPr>
              <w:pStyle w:val="Default"/>
              <w:rPr>
                <w:rStyle w:val="None"/>
                <w:rFonts w:ascii="Times New Roman" w:eastAsia="Times New Roman" w:hAnsi="Times New Roman" w:cs="Times New Roman"/>
                <w:u w:color="000000"/>
              </w:rPr>
            </w:pPr>
          </w:p>
          <w:p w14:paraId="4E204FF5" w14:textId="77777777" w:rsidR="00137DF8" w:rsidRPr="0052012E" w:rsidRDefault="0024621C">
            <w:pPr>
              <w:pStyle w:val="Default"/>
              <w:rPr>
                <w:rFonts w:hint="eastAsia"/>
              </w:rPr>
            </w:pPr>
            <w:r w:rsidRPr="0052012E">
              <w:rPr>
                <w:rStyle w:val="None"/>
                <w:rFonts w:ascii="Times New Roman" w:hAnsi="Times New Roman"/>
                <w:u w:color="000000"/>
              </w:rPr>
              <w:t xml:space="preserve">32. Pacients patvaļīgi pārtraucis vakcināciju (ja ir, tad atzīmēt)                                                                            </w:t>
            </w:r>
          </w:p>
        </w:tc>
      </w:tr>
      <w:tr w:rsidR="00137DF8" w:rsidRPr="0052012E" w14:paraId="1F43BD0D" w14:textId="77777777">
        <w:trPr>
          <w:trHeight w:val="232"/>
        </w:trPr>
        <w:tc>
          <w:tcPr>
            <w:tcW w:w="1623" w:type="dxa"/>
            <w:gridSpan w:val="2"/>
            <w:tcBorders>
              <w:top w:val="nil"/>
              <w:left w:val="nil"/>
              <w:bottom w:val="nil"/>
              <w:right w:val="nil"/>
            </w:tcBorders>
            <w:shd w:val="clear" w:color="auto" w:fill="auto"/>
            <w:tcMar>
              <w:top w:w="80" w:type="dxa"/>
              <w:left w:w="80" w:type="dxa"/>
              <w:bottom w:w="80" w:type="dxa"/>
              <w:right w:w="80" w:type="dxa"/>
            </w:tcMar>
          </w:tcPr>
          <w:p w14:paraId="79429285" w14:textId="77777777" w:rsidR="00137DF8" w:rsidRPr="0052012E" w:rsidRDefault="0024621C">
            <w:pPr>
              <w:pStyle w:val="Default"/>
              <w:rPr>
                <w:rFonts w:hint="eastAsia"/>
              </w:rPr>
            </w:pPr>
            <w:r w:rsidRPr="0052012E">
              <w:rPr>
                <w:rStyle w:val="None"/>
                <w:rFonts w:ascii="Times New Roman" w:hAnsi="Times New Roman"/>
                <w:u w:color="000000"/>
              </w:rPr>
              <w:t>33. Citi iemesli</w:t>
            </w:r>
          </w:p>
        </w:tc>
        <w:tc>
          <w:tcPr>
            <w:tcW w:w="8116" w:type="dxa"/>
            <w:gridSpan w:val="13"/>
            <w:tcBorders>
              <w:top w:val="nil"/>
              <w:left w:val="nil"/>
              <w:bottom w:val="single" w:sz="4" w:space="0" w:color="000000"/>
              <w:right w:val="nil"/>
            </w:tcBorders>
            <w:shd w:val="clear" w:color="auto" w:fill="auto"/>
            <w:tcMar>
              <w:top w:w="80" w:type="dxa"/>
              <w:left w:w="80" w:type="dxa"/>
              <w:bottom w:w="80" w:type="dxa"/>
              <w:right w:w="80" w:type="dxa"/>
            </w:tcMar>
          </w:tcPr>
          <w:p w14:paraId="09FBE318" w14:textId="77777777" w:rsidR="00137DF8" w:rsidRPr="0052012E" w:rsidRDefault="00137DF8">
            <w:pPr>
              <w:rPr>
                <w:sz w:val="20"/>
                <w:szCs w:val="20"/>
              </w:rPr>
            </w:pPr>
          </w:p>
        </w:tc>
      </w:tr>
      <w:tr w:rsidR="00137DF8" w:rsidRPr="0052012E" w14:paraId="0EC36AF4" w14:textId="77777777">
        <w:trPr>
          <w:trHeight w:val="232"/>
        </w:trPr>
        <w:tc>
          <w:tcPr>
            <w:tcW w:w="2189" w:type="dxa"/>
            <w:gridSpan w:val="3"/>
            <w:tcBorders>
              <w:top w:val="nil"/>
              <w:left w:val="nil"/>
              <w:bottom w:val="nil"/>
              <w:right w:val="nil"/>
            </w:tcBorders>
            <w:shd w:val="clear" w:color="auto" w:fill="auto"/>
            <w:tcMar>
              <w:top w:w="80" w:type="dxa"/>
              <w:left w:w="80" w:type="dxa"/>
              <w:bottom w:w="80" w:type="dxa"/>
              <w:right w:w="80" w:type="dxa"/>
            </w:tcMar>
          </w:tcPr>
          <w:p w14:paraId="04B87172" w14:textId="77777777" w:rsidR="00137DF8" w:rsidRPr="0052012E" w:rsidRDefault="0024621C">
            <w:pPr>
              <w:pStyle w:val="Default"/>
              <w:rPr>
                <w:rFonts w:hint="eastAsia"/>
              </w:rPr>
            </w:pPr>
            <w:r w:rsidRPr="0052012E">
              <w:rPr>
                <w:rStyle w:val="None"/>
                <w:rFonts w:ascii="Times New Roman" w:hAnsi="Times New Roman"/>
                <w:u w:color="000000"/>
              </w:rPr>
              <w:t>34. Papildinformācija</w:t>
            </w:r>
          </w:p>
        </w:tc>
        <w:tc>
          <w:tcPr>
            <w:tcW w:w="7550" w:type="dxa"/>
            <w:gridSpan w:val="1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2E4CE19" w14:textId="77777777" w:rsidR="00137DF8" w:rsidRPr="0052012E" w:rsidRDefault="00137DF8">
            <w:pPr>
              <w:rPr>
                <w:sz w:val="20"/>
                <w:szCs w:val="20"/>
              </w:rPr>
            </w:pPr>
          </w:p>
        </w:tc>
      </w:tr>
      <w:tr w:rsidR="00137DF8" w:rsidRPr="0052012E" w14:paraId="1C5E2B77" w14:textId="77777777">
        <w:trPr>
          <w:trHeight w:val="227"/>
        </w:trPr>
        <w:tc>
          <w:tcPr>
            <w:tcW w:w="2189"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79EACC42" w14:textId="77777777" w:rsidR="00137DF8" w:rsidRPr="0052012E" w:rsidRDefault="00137DF8">
            <w:pPr>
              <w:rPr>
                <w:sz w:val="20"/>
                <w:szCs w:val="20"/>
              </w:rPr>
            </w:pPr>
          </w:p>
        </w:tc>
        <w:tc>
          <w:tcPr>
            <w:tcW w:w="7550" w:type="dxa"/>
            <w:gridSpan w:val="12"/>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AAF3F7" w14:textId="77777777" w:rsidR="00137DF8" w:rsidRPr="0052012E" w:rsidRDefault="00137DF8">
            <w:pPr>
              <w:rPr>
                <w:sz w:val="20"/>
                <w:szCs w:val="20"/>
              </w:rPr>
            </w:pPr>
          </w:p>
        </w:tc>
      </w:tr>
      <w:tr w:rsidR="00137DF8" w:rsidRPr="0052012E" w14:paraId="60FB1B72" w14:textId="77777777">
        <w:trPr>
          <w:trHeight w:val="227"/>
        </w:trPr>
        <w:tc>
          <w:tcPr>
            <w:tcW w:w="9739" w:type="dxa"/>
            <w:gridSpan w:val="15"/>
            <w:tcBorders>
              <w:top w:val="single" w:sz="4" w:space="0" w:color="000000"/>
              <w:left w:val="nil"/>
              <w:bottom w:val="nil"/>
              <w:right w:val="nil"/>
            </w:tcBorders>
            <w:shd w:val="clear" w:color="auto" w:fill="auto"/>
            <w:tcMar>
              <w:top w:w="80" w:type="dxa"/>
              <w:left w:w="80" w:type="dxa"/>
              <w:bottom w:w="80" w:type="dxa"/>
              <w:right w:w="80" w:type="dxa"/>
            </w:tcMar>
          </w:tcPr>
          <w:p w14:paraId="63B63AD0" w14:textId="77777777" w:rsidR="00137DF8" w:rsidRPr="0052012E" w:rsidRDefault="00137DF8">
            <w:pPr>
              <w:rPr>
                <w:sz w:val="20"/>
                <w:szCs w:val="20"/>
              </w:rPr>
            </w:pPr>
          </w:p>
        </w:tc>
      </w:tr>
      <w:tr w:rsidR="00137DF8" w:rsidRPr="0052012E" w14:paraId="355B1390" w14:textId="77777777">
        <w:trPr>
          <w:trHeight w:val="67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1C58D51C" w14:textId="77777777" w:rsidR="00137DF8" w:rsidRPr="0052012E" w:rsidRDefault="0024621C">
            <w:pPr>
              <w:pStyle w:val="Heading3"/>
              <w:keepNext/>
              <w:spacing w:after="0" w:line="240" w:lineRule="auto"/>
              <w:rPr>
                <w:rStyle w:val="None"/>
                <w:rFonts w:ascii="Times New Roman" w:eastAsia="Times New Roman" w:hAnsi="Times New Roman" w:cs="Times New Roman"/>
                <w:b/>
                <w:bCs/>
                <w:caps w:val="0"/>
                <w:color w:val="000000"/>
                <w:spacing w:val="0"/>
                <w:sz w:val="20"/>
                <w:szCs w:val="20"/>
                <w:u w:color="000000"/>
              </w:rPr>
            </w:pPr>
            <w:r w:rsidRPr="0052012E">
              <w:rPr>
                <w:rStyle w:val="None"/>
                <w:rFonts w:ascii="Times New Roman" w:hAnsi="Times New Roman"/>
                <w:b/>
                <w:bCs/>
                <w:caps w:val="0"/>
                <w:color w:val="000000"/>
                <w:spacing w:val="0"/>
                <w:sz w:val="20"/>
                <w:szCs w:val="20"/>
                <w:u w:color="000000"/>
              </w:rPr>
              <w:t>VII. Epikrīze</w:t>
            </w:r>
          </w:p>
          <w:p w14:paraId="16F44DD8" w14:textId="77777777" w:rsidR="00137DF8" w:rsidRPr="0052012E" w:rsidRDefault="0024621C">
            <w:pPr>
              <w:pStyle w:val="Default"/>
              <w:rPr>
                <w:rFonts w:hint="eastAsia"/>
              </w:rPr>
            </w:pPr>
            <w:r w:rsidRPr="0052012E">
              <w:rPr>
                <w:rStyle w:val="None"/>
                <w:rFonts w:ascii="Times New Roman" w:hAnsi="Times New Roman"/>
                <w:u w:color="000000"/>
              </w:rPr>
              <w:t>35. Īsumā par brūces dzīšanu _____________________________________________________________________</w:t>
            </w:r>
          </w:p>
        </w:tc>
      </w:tr>
      <w:tr w:rsidR="00137DF8" w:rsidRPr="0052012E" w14:paraId="5A3F89A5" w14:textId="77777777">
        <w:trPr>
          <w:trHeight w:val="232"/>
        </w:trPr>
        <w:tc>
          <w:tcPr>
            <w:tcW w:w="3523" w:type="dxa"/>
            <w:gridSpan w:val="6"/>
            <w:tcBorders>
              <w:top w:val="nil"/>
              <w:left w:val="nil"/>
              <w:bottom w:val="nil"/>
              <w:right w:val="nil"/>
            </w:tcBorders>
            <w:shd w:val="clear" w:color="auto" w:fill="auto"/>
            <w:tcMar>
              <w:top w:w="80" w:type="dxa"/>
              <w:left w:w="80" w:type="dxa"/>
              <w:bottom w:w="80" w:type="dxa"/>
              <w:right w:w="80" w:type="dxa"/>
            </w:tcMar>
          </w:tcPr>
          <w:p w14:paraId="020A48B8" w14:textId="77777777" w:rsidR="00137DF8" w:rsidRPr="0052012E" w:rsidRDefault="0024621C">
            <w:pPr>
              <w:pStyle w:val="Default"/>
              <w:rPr>
                <w:rFonts w:hint="eastAsia"/>
              </w:rPr>
            </w:pPr>
            <w:r w:rsidRPr="0052012E">
              <w:rPr>
                <w:rStyle w:val="None"/>
                <w:rFonts w:ascii="Times New Roman" w:hAnsi="Times New Roman"/>
                <w:u w:color="000000"/>
              </w:rPr>
              <w:t xml:space="preserve">36. Vakcinācija pabeigta vai pārtraukta </w:t>
            </w:r>
          </w:p>
        </w:tc>
        <w:tc>
          <w:tcPr>
            <w:tcW w:w="6216" w:type="dxa"/>
            <w:gridSpan w:val="9"/>
            <w:tcBorders>
              <w:top w:val="nil"/>
              <w:left w:val="nil"/>
              <w:bottom w:val="single" w:sz="4" w:space="0" w:color="000000"/>
              <w:right w:val="nil"/>
            </w:tcBorders>
            <w:shd w:val="clear" w:color="auto" w:fill="auto"/>
            <w:tcMar>
              <w:top w:w="80" w:type="dxa"/>
              <w:left w:w="80" w:type="dxa"/>
              <w:bottom w:w="80" w:type="dxa"/>
              <w:right w:w="80" w:type="dxa"/>
            </w:tcMar>
          </w:tcPr>
          <w:p w14:paraId="5F94604E" w14:textId="77777777" w:rsidR="00137DF8" w:rsidRPr="0052012E" w:rsidRDefault="00137DF8">
            <w:pPr>
              <w:rPr>
                <w:sz w:val="20"/>
                <w:szCs w:val="20"/>
              </w:rPr>
            </w:pPr>
          </w:p>
        </w:tc>
      </w:tr>
      <w:tr w:rsidR="00137DF8" w:rsidRPr="0052012E" w14:paraId="6B190812" w14:textId="77777777">
        <w:trPr>
          <w:trHeight w:val="232"/>
        </w:trPr>
        <w:tc>
          <w:tcPr>
            <w:tcW w:w="6166" w:type="dxa"/>
            <w:gridSpan w:val="11"/>
            <w:tcBorders>
              <w:top w:val="nil"/>
              <w:left w:val="nil"/>
              <w:bottom w:val="nil"/>
              <w:right w:val="nil"/>
            </w:tcBorders>
            <w:shd w:val="clear" w:color="auto" w:fill="auto"/>
            <w:tcMar>
              <w:top w:w="80" w:type="dxa"/>
              <w:left w:w="80" w:type="dxa"/>
              <w:bottom w:w="80" w:type="dxa"/>
              <w:right w:w="80" w:type="dxa"/>
            </w:tcMar>
          </w:tcPr>
          <w:p w14:paraId="529072B4" w14:textId="77777777" w:rsidR="00137DF8" w:rsidRPr="0052012E" w:rsidRDefault="0024621C">
            <w:pPr>
              <w:pStyle w:val="Default"/>
              <w:rPr>
                <w:rFonts w:hint="eastAsia"/>
              </w:rPr>
            </w:pPr>
            <w:r w:rsidRPr="0052012E">
              <w:rPr>
                <w:rStyle w:val="None"/>
                <w:rFonts w:ascii="Times New Roman" w:hAnsi="Times New Roman"/>
                <w:u w:color="000000"/>
              </w:rPr>
              <w:t xml:space="preserve">37. Cietušais nosūtīts uz citu ārstniecības iestādi turpināt vakcināciju </w:t>
            </w:r>
          </w:p>
        </w:tc>
        <w:tc>
          <w:tcPr>
            <w:tcW w:w="3573"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A8D5596" w14:textId="77777777" w:rsidR="00137DF8" w:rsidRPr="0052012E" w:rsidRDefault="00137DF8">
            <w:pPr>
              <w:rPr>
                <w:sz w:val="20"/>
                <w:szCs w:val="20"/>
              </w:rPr>
            </w:pPr>
          </w:p>
        </w:tc>
      </w:tr>
      <w:tr w:rsidR="00137DF8" w:rsidRPr="0052012E" w14:paraId="485D3388" w14:textId="77777777">
        <w:trPr>
          <w:trHeight w:val="227"/>
        </w:trPr>
        <w:tc>
          <w:tcPr>
            <w:tcW w:w="6166" w:type="dxa"/>
            <w:gridSpan w:val="11"/>
            <w:tcBorders>
              <w:top w:val="nil"/>
              <w:left w:val="nil"/>
              <w:bottom w:val="single" w:sz="4" w:space="0" w:color="000000"/>
              <w:right w:val="nil"/>
            </w:tcBorders>
            <w:shd w:val="clear" w:color="auto" w:fill="auto"/>
            <w:tcMar>
              <w:top w:w="80" w:type="dxa"/>
              <w:left w:w="80" w:type="dxa"/>
              <w:bottom w:w="80" w:type="dxa"/>
              <w:right w:w="80" w:type="dxa"/>
            </w:tcMar>
          </w:tcPr>
          <w:p w14:paraId="3A579DAA" w14:textId="77777777" w:rsidR="00137DF8" w:rsidRPr="0052012E" w:rsidRDefault="00137DF8">
            <w:pPr>
              <w:rPr>
                <w:sz w:val="20"/>
                <w:szCs w:val="20"/>
              </w:rPr>
            </w:pPr>
          </w:p>
        </w:tc>
        <w:tc>
          <w:tcPr>
            <w:tcW w:w="3573" w:type="dxa"/>
            <w:gridSpan w:val="4"/>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E4857CD" w14:textId="77777777" w:rsidR="00137DF8" w:rsidRPr="0052012E" w:rsidRDefault="00137DF8">
            <w:pPr>
              <w:rPr>
                <w:sz w:val="20"/>
                <w:szCs w:val="20"/>
              </w:rPr>
            </w:pPr>
          </w:p>
        </w:tc>
      </w:tr>
      <w:tr w:rsidR="00137DF8" w:rsidRPr="0021328C" w14:paraId="29C750A3" w14:textId="77777777">
        <w:trPr>
          <w:trHeight w:val="707"/>
        </w:trPr>
        <w:tc>
          <w:tcPr>
            <w:tcW w:w="9739" w:type="dxa"/>
            <w:gridSpan w:val="15"/>
            <w:tcBorders>
              <w:top w:val="single" w:sz="4" w:space="0" w:color="000000"/>
              <w:left w:val="nil"/>
              <w:bottom w:val="nil"/>
              <w:right w:val="nil"/>
            </w:tcBorders>
            <w:shd w:val="clear" w:color="auto" w:fill="auto"/>
            <w:tcMar>
              <w:top w:w="80" w:type="dxa"/>
              <w:left w:w="80" w:type="dxa"/>
              <w:bottom w:w="80" w:type="dxa"/>
              <w:right w:w="80" w:type="dxa"/>
            </w:tcMar>
          </w:tcPr>
          <w:p w14:paraId="3A8EBD00" w14:textId="77777777" w:rsidR="00137DF8" w:rsidRPr="0052012E" w:rsidRDefault="00137DF8">
            <w:pPr>
              <w:pStyle w:val="Default"/>
              <w:rPr>
                <w:rStyle w:val="None"/>
                <w:rFonts w:ascii="Times New Roman" w:eastAsia="Times New Roman" w:hAnsi="Times New Roman" w:cs="Times New Roman"/>
                <w:u w:color="000000"/>
              </w:rPr>
            </w:pPr>
          </w:p>
          <w:p w14:paraId="10F5859D" w14:textId="77777777" w:rsidR="00137DF8" w:rsidRPr="0021328C" w:rsidRDefault="0024621C">
            <w:pPr>
              <w:pStyle w:val="Default"/>
              <w:rPr>
                <w:rStyle w:val="None"/>
                <w:rFonts w:ascii="Times New Roman" w:eastAsia="Times New Roman" w:hAnsi="Times New Roman" w:cs="Times New Roman"/>
                <w:u w:color="000000"/>
                <w:lang w:val="fr-FR"/>
              </w:rPr>
            </w:pPr>
            <w:r w:rsidRPr="0021328C">
              <w:rPr>
                <w:rStyle w:val="None"/>
                <w:rFonts w:ascii="Times New Roman" w:hAnsi="Times New Roman"/>
                <w:u w:color="000000"/>
                <w:lang w:val="fr-FR"/>
              </w:rPr>
              <w:t>38. Ārsts ____________________________________________________________________________________</w:t>
            </w:r>
          </w:p>
          <w:p w14:paraId="36139EFE" w14:textId="77777777" w:rsidR="00137DF8" w:rsidRPr="0021328C" w:rsidRDefault="0024621C">
            <w:pPr>
              <w:pStyle w:val="Default"/>
              <w:rPr>
                <w:rFonts w:hint="eastAsia"/>
                <w:lang w:val="fr-FR"/>
              </w:rPr>
            </w:pPr>
            <w:r w:rsidRPr="0021328C">
              <w:rPr>
                <w:rStyle w:val="None"/>
                <w:rFonts w:ascii="Times New Roman" w:hAnsi="Times New Roman"/>
                <w:u w:color="000000"/>
                <w:lang w:val="fr-FR"/>
              </w:rPr>
              <w:t xml:space="preserve">                                                                      (paraksts un personīgais spiedogs) </w:t>
            </w:r>
          </w:p>
        </w:tc>
      </w:tr>
      <w:tr w:rsidR="00137DF8" w:rsidRPr="0021328C" w14:paraId="2407C1E1" w14:textId="77777777">
        <w:trPr>
          <w:trHeight w:val="232"/>
        </w:trPr>
        <w:tc>
          <w:tcPr>
            <w:tcW w:w="9739" w:type="dxa"/>
            <w:gridSpan w:val="15"/>
            <w:tcBorders>
              <w:top w:val="nil"/>
              <w:left w:val="nil"/>
              <w:bottom w:val="nil"/>
              <w:right w:val="nil"/>
            </w:tcBorders>
            <w:shd w:val="clear" w:color="auto" w:fill="auto"/>
            <w:tcMar>
              <w:top w:w="80" w:type="dxa"/>
              <w:left w:w="80" w:type="dxa"/>
              <w:bottom w:w="80" w:type="dxa"/>
              <w:right w:w="80" w:type="dxa"/>
            </w:tcMar>
          </w:tcPr>
          <w:p w14:paraId="5E6D594D" w14:textId="77777777" w:rsidR="00137DF8" w:rsidRPr="0021328C" w:rsidRDefault="00137DF8">
            <w:pPr>
              <w:rPr>
                <w:sz w:val="20"/>
                <w:szCs w:val="20"/>
                <w:lang w:val="fr-FR"/>
              </w:rPr>
            </w:pPr>
          </w:p>
        </w:tc>
      </w:tr>
      <w:tr w:rsidR="00137DF8" w:rsidRPr="0052012E" w14:paraId="65CE44F4" w14:textId="77777777">
        <w:trPr>
          <w:trHeight w:val="227"/>
        </w:trPr>
        <w:tc>
          <w:tcPr>
            <w:tcW w:w="9739" w:type="dxa"/>
            <w:gridSpan w:val="15"/>
            <w:tcBorders>
              <w:top w:val="nil"/>
              <w:left w:val="nil"/>
              <w:bottom w:val="single" w:sz="4" w:space="0" w:color="000000"/>
              <w:right w:val="nil"/>
            </w:tcBorders>
            <w:shd w:val="clear" w:color="auto" w:fill="auto"/>
            <w:tcMar>
              <w:top w:w="80" w:type="dxa"/>
              <w:left w:w="80" w:type="dxa"/>
              <w:bottom w:w="80" w:type="dxa"/>
              <w:right w:w="80" w:type="dxa"/>
            </w:tcMar>
          </w:tcPr>
          <w:p w14:paraId="58A5A596" w14:textId="77777777" w:rsidR="00137DF8" w:rsidRPr="0052012E" w:rsidRDefault="0024621C">
            <w:pPr>
              <w:pStyle w:val="Default"/>
              <w:keepNext/>
              <w:jc w:val="center"/>
              <w:outlineLvl w:val="0"/>
              <w:rPr>
                <w:rFonts w:hint="eastAsia"/>
              </w:rPr>
            </w:pPr>
            <w:r w:rsidRPr="0052012E">
              <w:rPr>
                <w:rStyle w:val="None"/>
                <w:rFonts w:ascii="Times New Roman" w:hAnsi="Times New Roman"/>
                <w:b/>
                <w:bCs/>
                <w:u w:color="000000"/>
              </w:rPr>
              <w:t>VIII. Vakcinācija</w:t>
            </w:r>
          </w:p>
        </w:tc>
      </w:tr>
      <w:tr w:rsidR="00137DF8" w:rsidRPr="009019B2" w14:paraId="6B0099E4" w14:textId="77777777">
        <w:trPr>
          <w:trHeight w:val="884"/>
        </w:trPr>
        <w:tc>
          <w:tcPr>
            <w:tcW w:w="893"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384033" w14:textId="77777777" w:rsidR="00137DF8" w:rsidRPr="0052012E" w:rsidRDefault="0024621C">
            <w:pPr>
              <w:pStyle w:val="Default"/>
              <w:jc w:val="center"/>
              <w:rPr>
                <w:rFonts w:hint="eastAsia"/>
              </w:rPr>
            </w:pPr>
            <w:r w:rsidRPr="0052012E">
              <w:rPr>
                <w:rStyle w:val="None"/>
                <w:rFonts w:ascii="Times New Roman" w:hAnsi="Times New Roman"/>
                <w:u w:color="000000"/>
              </w:rPr>
              <w:t>Nr.p.k.</w:t>
            </w:r>
          </w:p>
        </w:tc>
        <w:tc>
          <w:tcPr>
            <w:tcW w:w="2273" w:type="dxa"/>
            <w:gridSpan w:val="3"/>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03AC29" w14:textId="77777777" w:rsidR="00137DF8" w:rsidRPr="0052012E" w:rsidRDefault="0024621C">
            <w:pPr>
              <w:pStyle w:val="Default"/>
              <w:jc w:val="center"/>
              <w:rPr>
                <w:rFonts w:hint="eastAsia"/>
              </w:rPr>
            </w:pPr>
            <w:r w:rsidRPr="0052012E">
              <w:rPr>
                <w:rStyle w:val="None"/>
                <w:rFonts w:ascii="Times New Roman" w:hAnsi="Times New Roman"/>
                <w:u w:color="000000"/>
              </w:rPr>
              <w:t>Datums (dd.mm.gggg)</w:t>
            </w:r>
          </w:p>
        </w:tc>
        <w:tc>
          <w:tcPr>
            <w:tcW w:w="1562" w:type="dxa"/>
            <w:gridSpan w:val="3"/>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9F06D40" w14:textId="77777777" w:rsidR="00137DF8" w:rsidRPr="0052012E" w:rsidRDefault="0024621C">
            <w:pPr>
              <w:pStyle w:val="Default"/>
              <w:jc w:val="center"/>
              <w:rPr>
                <w:rFonts w:hint="eastAsia"/>
              </w:rPr>
            </w:pPr>
            <w:r w:rsidRPr="0052012E">
              <w:rPr>
                <w:rStyle w:val="None"/>
                <w:rFonts w:ascii="Times New Roman" w:hAnsi="Times New Roman"/>
                <w:u w:color="000000"/>
              </w:rPr>
              <w:t>Preparāta nosaukums</w:t>
            </w:r>
          </w:p>
        </w:tc>
        <w:tc>
          <w:tcPr>
            <w:tcW w:w="1257" w:type="dxa"/>
            <w:gridSpan w:val="3"/>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79BE73F" w14:textId="77777777" w:rsidR="00137DF8" w:rsidRPr="0052012E" w:rsidRDefault="0024621C">
            <w:pPr>
              <w:pStyle w:val="Default"/>
              <w:jc w:val="center"/>
              <w:rPr>
                <w:rFonts w:hint="eastAsia"/>
              </w:rPr>
            </w:pPr>
            <w:r w:rsidRPr="0052012E">
              <w:rPr>
                <w:rStyle w:val="None"/>
                <w:rFonts w:ascii="Times New Roman" w:hAnsi="Times New Roman"/>
                <w:u w:color="000000"/>
              </w:rPr>
              <w:t>Deva, ievadīšanas veids</w:t>
            </w:r>
          </w:p>
        </w:tc>
        <w:tc>
          <w:tcPr>
            <w:tcW w:w="1216" w:type="dxa"/>
            <w:gridSpan w:val="3"/>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3034229" w14:textId="77777777" w:rsidR="00137DF8" w:rsidRPr="0052012E" w:rsidRDefault="0024621C">
            <w:pPr>
              <w:pStyle w:val="Default"/>
              <w:jc w:val="center"/>
              <w:rPr>
                <w:rFonts w:hint="eastAsia"/>
              </w:rPr>
            </w:pPr>
            <w:r w:rsidRPr="0052012E">
              <w:rPr>
                <w:rStyle w:val="None"/>
                <w:rFonts w:ascii="Times New Roman" w:hAnsi="Times New Roman"/>
                <w:u w:color="000000"/>
              </w:rPr>
              <w:t>Sērijas numurs, derīguma termiņš</w:t>
            </w:r>
          </w:p>
        </w:tc>
        <w:tc>
          <w:tcPr>
            <w:tcW w:w="1026"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0E1CC7" w14:textId="77777777" w:rsidR="00137DF8" w:rsidRPr="0052012E" w:rsidRDefault="0024621C">
            <w:pPr>
              <w:pStyle w:val="Default"/>
              <w:jc w:val="center"/>
              <w:rPr>
                <w:rFonts w:hint="eastAsia"/>
              </w:rPr>
            </w:pPr>
            <w:r w:rsidRPr="0052012E">
              <w:rPr>
                <w:rStyle w:val="None"/>
                <w:rFonts w:ascii="Times New Roman" w:hAnsi="Times New Roman"/>
                <w:u w:color="000000"/>
              </w:rPr>
              <w:t>Preparāta ražotājs</w:t>
            </w:r>
          </w:p>
        </w:tc>
        <w:tc>
          <w:tcPr>
            <w:tcW w:w="1509"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72B7C4" w14:textId="77777777" w:rsidR="00137DF8" w:rsidRPr="0021328C" w:rsidRDefault="0024621C">
            <w:pPr>
              <w:pStyle w:val="Default"/>
              <w:jc w:val="center"/>
              <w:rPr>
                <w:rFonts w:hint="eastAsia"/>
                <w:lang w:val="fr-FR"/>
              </w:rPr>
            </w:pPr>
            <w:r w:rsidRPr="0021328C">
              <w:rPr>
                <w:rStyle w:val="None"/>
                <w:rFonts w:ascii="Times New Roman" w:hAnsi="Times New Roman"/>
                <w:u w:color="000000"/>
                <w:lang w:val="fr-FR"/>
              </w:rPr>
              <w:t>Māsa (paraksts un tā atšifrējums)</w:t>
            </w:r>
          </w:p>
        </w:tc>
      </w:tr>
      <w:tr w:rsidR="00137DF8" w:rsidRPr="0052012E" w14:paraId="02AA9FEE" w14:textId="77777777">
        <w:trPr>
          <w:trHeight w:val="227"/>
        </w:trPr>
        <w:tc>
          <w:tcPr>
            <w:tcW w:w="8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1CA8CE" w14:textId="77777777" w:rsidR="00137DF8" w:rsidRPr="0021328C" w:rsidRDefault="00137DF8">
            <w:pPr>
              <w:rPr>
                <w:sz w:val="20"/>
                <w:szCs w:val="20"/>
                <w:lang w:val="fr-FR"/>
              </w:rPr>
            </w:pPr>
          </w:p>
        </w:tc>
        <w:tc>
          <w:tcPr>
            <w:tcW w:w="227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84ACBF" w14:textId="77777777" w:rsidR="00137DF8" w:rsidRPr="0052012E" w:rsidRDefault="0024621C">
            <w:pPr>
              <w:pStyle w:val="Default"/>
              <w:rPr>
                <w:rFonts w:hint="eastAsia"/>
              </w:rPr>
            </w:pPr>
            <w:r w:rsidRPr="0052012E">
              <w:rPr>
                <w:rStyle w:val="None"/>
                <w:rFonts w:ascii="Times New Roman" w:hAnsi="Times New Roman"/>
                <w:u w:color="000000"/>
              </w:rPr>
              <w:t>..</w:t>
            </w:r>
          </w:p>
        </w:tc>
        <w:tc>
          <w:tcPr>
            <w:tcW w:w="156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E3E0EB" w14:textId="77777777" w:rsidR="00137DF8" w:rsidRPr="0052012E" w:rsidRDefault="00137DF8">
            <w:pPr>
              <w:rPr>
                <w:sz w:val="20"/>
                <w:szCs w:val="20"/>
              </w:rPr>
            </w:pPr>
          </w:p>
        </w:tc>
        <w:tc>
          <w:tcPr>
            <w:tcW w:w="1257"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3886CA" w14:textId="77777777" w:rsidR="00137DF8" w:rsidRPr="0052012E" w:rsidRDefault="00137DF8">
            <w:pPr>
              <w:rPr>
                <w:sz w:val="20"/>
                <w:szCs w:val="20"/>
              </w:rPr>
            </w:pPr>
          </w:p>
        </w:tc>
        <w:tc>
          <w:tcPr>
            <w:tcW w:w="1216"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97D10A" w14:textId="77777777" w:rsidR="00137DF8" w:rsidRPr="0052012E" w:rsidRDefault="00137DF8">
            <w:pPr>
              <w:rPr>
                <w:sz w:val="20"/>
                <w:szCs w:val="20"/>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3B6EC9" w14:textId="77777777" w:rsidR="00137DF8" w:rsidRPr="0052012E" w:rsidRDefault="00137DF8">
            <w:pPr>
              <w:rPr>
                <w:sz w:val="20"/>
                <w:szCs w:val="20"/>
              </w:rPr>
            </w:pPr>
          </w:p>
        </w:tc>
        <w:tc>
          <w:tcPr>
            <w:tcW w:w="15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15DC21" w14:textId="77777777" w:rsidR="00137DF8" w:rsidRPr="0052012E" w:rsidRDefault="00137DF8">
            <w:pPr>
              <w:rPr>
                <w:sz w:val="20"/>
                <w:szCs w:val="20"/>
              </w:rPr>
            </w:pPr>
          </w:p>
        </w:tc>
      </w:tr>
      <w:tr w:rsidR="00137DF8" w:rsidRPr="0052012E" w14:paraId="35896250" w14:textId="77777777">
        <w:trPr>
          <w:trHeight w:val="227"/>
        </w:trPr>
        <w:tc>
          <w:tcPr>
            <w:tcW w:w="89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C61AF1" w14:textId="77777777" w:rsidR="00137DF8" w:rsidRPr="0052012E" w:rsidRDefault="00137DF8">
            <w:pPr>
              <w:rPr>
                <w:sz w:val="20"/>
                <w:szCs w:val="20"/>
              </w:rPr>
            </w:pPr>
          </w:p>
        </w:tc>
        <w:tc>
          <w:tcPr>
            <w:tcW w:w="2273"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047335" w14:textId="77777777" w:rsidR="00137DF8" w:rsidRPr="0052012E" w:rsidRDefault="0024621C">
            <w:pPr>
              <w:pStyle w:val="Default"/>
              <w:rPr>
                <w:rFonts w:hint="eastAsia"/>
              </w:rPr>
            </w:pPr>
            <w:r w:rsidRPr="0052012E">
              <w:rPr>
                <w:rStyle w:val="None"/>
                <w:rFonts w:ascii="Times New Roman" w:hAnsi="Times New Roman"/>
                <w:u w:color="000000"/>
              </w:rPr>
              <w:t>..</w:t>
            </w:r>
          </w:p>
        </w:tc>
        <w:tc>
          <w:tcPr>
            <w:tcW w:w="1562"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C49910" w14:textId="77777777" w:rsidR="00137DF8" w:rsidRPr="0052012E" w:rsidRDefault="00137DF8">
            <w:pPr>
              <w:rPr>
                <w:sz w:val="20"/>
                <w:szCs w:val="20"/>
              </w:rPr>
            </w:pPr>
          </w:p>
        </w:tc>
        <w:tc>
          <w:tcPr>
            <w:tcW w:w="1257"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30C85E" w14:textId="77777777" w:rsidR="00137DF8" w:rsidRPr="0052012E" w:rsidRDefault="00137DF8">
            <w:pPr>
              <w:rPr>
                <w:sz w:val="20"/>
                <w:szCs w:val="20"/>
              </w:rPr>
            </w:pPr>
          </w:p>
        </w:tc>
        <w:tc>
          <w:tcPr>
            <w:tcW w:w="1216" w:type="dxa"/>
            <w:gridSpan w:val="3"/>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83718E" w14:textId="77777777" w:rsidR="00137DF8" w:rsidRPr="0052012E" w:rsidRDefault="00137DF8">
            <w:pPr>
              <w:rPr>
                <w:sz w:val="20"/>
                <w:szCs w:val="20"/>
              </w:rPr>
            </w:pPr>
          </w:p>
        </w:tc>
        <w:tc>
          <w:tcPr>
            <w:tcW w:w="102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A7F8EE" w14:textId="77777777" w:rsidR="00137DF8" w:rsidRPr="0052012E" w:rsidRDefault="00137DF8">
            <w:pPr>
              <w:rPr>
                <w:sz w:val="20"/>
                <w:szCs w:val="20"/>
              </w:rPr>
            </w:pPr>
          </w:p>
        </w:tc>
        <w:tc>
          <w:tcPr>
            <w:tcW w:w="150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05909C" w14:textId="77777777" w:rsidR="00137DF8" w:rsidRPr="0052012E" w:rsidRDefault="00137DF8">
            <w:pPr>
              <w:rPr>
                <w:sz w:val="20"/>
                <w:szCs w:val="20"/>
              </w:rPr>
            </w:pPr>
          </w:p>
        </w:tc>
      </w:tr>
      <w:tr w:rsidR="00137DF8" w:rsidRPr="0052012E" w14:paraId="53997C7E" w14:textId="77777777">
        <w:trPr>
          <w:trHeight w:val="224"/>
        </w:trPr>
        <w:tc>
          <w:tcPr>
            <w:tcW w:w="893"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728D6AA4" w14:textId="77777777" w:rsidR="00137DF8" w:rsidRPr="0052012E" w:rsidRDefault="00137DF8">
            <w:pPr>
              <w:rPr>
                <w:sz w:val="20"/>
                <w:szCs w:val="20"/>
              </w:rPr>
            </w:pPr>
          </w:p>
        </w:tc>
        <w:tc>
          <w:tcPr>
            <w:tcW w:w="2273" w:type="dxa"/>
            <w:gridSpan w:val="3"/>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36411A5A" w14:textId="77777777" w:rsidR="00137DF8" w:rsidRPr="0052012E" w:rsidRDefault="0024621C">
            <w:pPr>
              <w:pStyle w:val="Default"/>
              <w:rPr>
                <w:rFonts w:hint="eastAsia"/>
              </w:rPr>
            </w:pPr>
            <w:r w:rsidRPr="0052012E">
              <w:rPr>
                <w:rStyle w:val="None"/>
                <w:rFonts w:ascii="Times New Roman" w:hAnsi="Times New Roman"/>
                <w:u w:color="000000"/>
              </w:rPr>
              <w:t>..</w:t>
            </w:r>
          </w:p>
        </w:tc>
        <w:tc>
          <w:tcPr>
            <w:tcW w:w="1562" w:type="dxa"/>
            <w:gridSpan w:val="3"/>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7A9CC370" w14:textId="77777777" w:rsidR="00137DF8" w:rsidRPr="0052012E" w:rsidRDefault="00137DF8">
            <w:pPr>
              <w:rPr>
                <w:sz w:val="20"/>
                <w:szCs w:val="20"/>
              </w:rPr>
            </w:pPr>
          </w:p>
        </w:tc>
        <w:tc>
          <w:tcPr>
            <w:tcW w:w="1257" w:type="dxa"/>
            <w:gridSpan w:val="3"/>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6B028A3C" w14:textId="77777777" w:rsidR="00137DF8" w:rsidRPr="0052012E" w:rsidRDefault="00137DF8">
            <w:pPr>
              <w:rPr>
                <w:sz w:val="20"/>
                <w:szCs w:val="20"/>
              </w:rPr>
            </w:pPr>
          </w:p>
        </w:tc>
        <w:tc>
          <w:tcPr>
            <w:tcW w:w="1216" w:type="dxa"/>
            <w:gridSpan w:val="3"/>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B7E0506" w14:textId="77777777" w:rsidR="00137DF8" w:rsidRPr="0052012E" w:rsidRDefault="00137DF8">
            <w:pPr>
              <w:rPr>
                <w:sz w:val="20"/>
                <w:szCs w:val="20"/>
              </w:rPr>
            </w:pPr>
          </w:p>
        </w:tc>
        <w:tc>
          <w:tcPr>
            <w:tcW w:w="1026"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0C93A04F" w14:textId="77777777" w:rsidR="00137DF8" w:rsidRPr="0052012E" w:rsidRDefault="00137DF8">
            <w:pPr>
              <w:rPr>
                <w:sz w:val="20"/>
                <w:szCs w:val="20"/>
              </w:rPr>
            </w:pPr>
          </w:p>
        </w:tc>
        <w:tc>
          <w:tcPr>
            <w:tcW w:w="1509"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1679A41C" w14:textId="77777777" w:rsidR="00137DF8" w:rsidRPr="0052012E" w:rsidRDefault="00137DF8">
            <w:pPr>
              <w:rPr>
                <w:sz w:val="20"/>
                <w:szCs w:val="20"/>
              </w:rPr>
            </w:pPr>
          </w:p>
        </w:tc>
      </w:tr>
    </w:tbl>
    <w:p w14:paraId="4249E210"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2772560F" w14:textId="77777777" w:rsidR="00137DF8" w:rsidRDefault="00137DF8">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p>
    <w:p w14:paraId="685C338C" w14:textId="77777777" w:rsidR="00137DF8" w:rsidRDefault="0024621C">
      <w:pPr>
        <w:pStyle w:val="Default"/>
        <w:spacing w:after="160" w:line="288" w:lineRule="auto"/>
        <w:jc w:val="both"/>
        <w:outlineLvl w:val="0"/>
        <w:rPr>
          <w:rStyle w:val="None"/>
          <w:rFonts w:hint="eastAsia"/>
          <w:sz w:val="18"/>
          <w:szCs w:val="18"/>
          <w:u w:color="000000"/>
          <w14:textOutline w14:w="12700" w14:cap="flat" w14:cmpd="sng" w14:algn="ctr">
            <w14:noFill/>
            <w14:prstDash w14:val="solid"/>
            <w14:miter w14:lim="400000"/>
          </w14:textOutline>
        </w:rPr>
      </w:pPr>
      <w:r>
        <w:rPr>
          <w:rStyle w:val="None"/>
          <w:sz w:val="18"/>
          <w:szCs w:val="18"/>
          <w:u w:color="000000"/>
          <w14:textOutline w14:w="12700" w14:cap="flat" w14:cmpd="sng" w14:algn="ctr">
            <w14:noFill/>
            <w14:prstDash w14:val="solid"/>
            <w14:miter w14:lim="400000"/>
          </w14:textOutline>
        </w:rPr>
        <w:lastRenderedPageBreak/>
        <w:t>3.pielikums. Pēcekspozīcijas profilakses algoritms</w:t>
      </w:r>
    </w:p>
    <w:p w14:paraId="3432613E" w14:textId="77777777" w:rsidR="00137DF8" w:rsidRPr="0021328C" w:rsidRDefault="0024621C">
      <w:pPr>
        <w:pStyle w:val="Default"/>
        <w:spacing w:after="160" w:line="288" w:lineRule="auto"/>
        <w:jc w:val="center"/>
        <w:outlineLvl w:val="0"/>
        <w:rPr>
          <w:rStyle w:val="None"/>
          <w:rFonts w:hint="eastAsia"/>
          <w:b/>
          <w:bCs/>
          <w:color w:val="B8000B"/>
          <w:sz w:val="28"/>
          <w:szCs w:val="28"/>
          <w:u w:color="000000"/>
          <w:lang w:val="es-ES"/>
          <w14:textOutline w14:w="12700" w14:cap="flat" w14:cmpd="sng" w14:algn="ctr">
            <w14:noFill/>
            <w14:prstDash w14:val="solid"/>
            <w14:miter w14:lim="400000"/>
          </w14:textOutline>
        </w:rPr>
      </w:pPr>
      <w:r w:rsidRPr="0021328C">
        <w:rPr>
          <w:rStyle w:val="None"/>
          <w:b/>
          <w:bCs/>
          <w:color w:val="B8000B"/>
          <w:sz w:val="28"/>
          <w:szCs w:val="28"/>
          <w:u w:color="000000"/>
          <w:lang w:val="es-ES"/>
          <w14:textOutline w14:w="12700" w14:cap="flat" w14:cmpd="sng" w14:algn="ctr">
            <w14:noFill/>
            <w14:prstDash w14:val="solid"/>
            <w14:miter w14:lim="400000"/>
          </w14:textOutline>
        </w:rPr>
        <w:t>Latvija ir no trakumsērgas brīva valsts!</w:t>
      </w:r>
    </w:p>
    <w:p w14:paraId="727CE280" w14:textId="6CD6A664" w:rsidR="00C10E12" w:rsidRPr="0021328C" w:rsidRDefault="0024621C">
      <w:pPr>
        <w:pStyle w:val="Default"/>
        <w:spacing w:after="160" w:line="288" w:lineRule="auto"/>
        <w:jc w:val="center"/>
        <w:outlineLvl w:val="0"/>
        <w:rPr>
          <w:rStyle w:val="None"/>
          <w:rFonts w:hint="eastAsia"/>
          <w:sz w:val="18"/>
          <w:szCs w:val="18"/>
          <w:u w:color="000000"/>
          <w:lang w:val="es-ES"/>
          <w14:textOutline w14:w="12700" w14:cap="flat" w14:cmpd="sng" w14:algn="ctr">
            <w14:noFill/>
            <w14:prstDash w14:val="solid"/>
            <w14:miter w14:lim="400000"/>
          </w14:textOutline>
        </w:rPr>
      </w:pPr>
      <w:r w:rsidRPr="0021328C">
        <w:rPr>
          <w:rStyle w:val="None"/>
          <w:b/>
          <w:bCs/>
          <w:sz w:val="18"/>
          <w:szCs w:val="18"/>
          <w:u w:color="000000"/>
          <w:lang w:val="es-ES"/>
          <w14:textOutline w14:w="12700" w14:cap="flat" w14:cmpd="sng" w14:algn="ctr">
            <w14:noFill/>
            <w14:prstDash w14:val="solid"/>
            <w14:miter w14:lim="400000"/>
          </w14:textOutline>
        </w:rPr>
        <w:t>PEP netiek rekomendēta personām</w:t>
      </w:r>
      <w:r w:rsidRPr="0021328C">
        <w:rPr>
          <w:rStyle w:val="None"/>
          <w:sz w:val="18"/>
          <w:szCs w:val="18"/>
          <w:u w:color="000000"/>
          <w:lang w:val="es-ES"/>
          <w14:textOutline w14:w="12700" w14:cap="flat" w14:cmpd="sng" w14:algn="ctr">
            <w14:noFill/>
            <w14:prstDash w14:val="solid"/>
            <w14:miter w14:lim="400000"/>
          </w14:textOutline>
        </w:rPr>
        <w:t>, kurām iekodis, saskrāpējis vai nolaizījis jebkāds dzīvnieks no trakumsēgas brīvā valstī vai teritorijā</w:t>
      </w:r>
      <w:r w:rsidR="003D70D5" w:rsidRPr="0021328C">
        <w:rPr>
          <w:rStyle w:val="None"/>
          <w:sz w:val="18"/>
          <w:szCs w:val="18"/>
          <w:u w:color="000000"/>
          <w:lang w:val="es-ES"/>
          <w14:textOutline w14:w="12700" w14:cap="flat" w14:cmpd="sng" w14:algn="ctr">
            <w14:noFill/>
            <w14:prstDash w14:val="solid"/>
            <w14:miter w14:lim="400000"/>
          </w14:textOutline>
        </w:rPr>
        <w:t>,</w:t>
      </w:r>
      <w:r w:rsidRPr="0021328C">
        <w:rPr>
          <w:rStyle w:val="None"/>
          <w:sz w:val="18"/>
          <w:szCs w:val="18"/>
          <w:u w:color="000000"/>
          <w:lang w:val="es-ES"/>
          <w14:textOutline w14:w="12700" w14:cap="flat" w14:cmpd="sng" w14:algn="ctr">
            <w14:noFill/>
            <w14:prstDash w14:val="solid"/>
            <w14:miter w14:lim="400000"/>
          </w14:textOutline>
        </w:rPr>
        <w:t xml:space="preserve"> </w:t>
      </w:r>
      <w:r w:rsidR="00C10E12" w:rsidRPr="0021328C">
        <w:rPr>
          <w:rStyle w:val="None"/>
          <w:sz w:val="18"/>
          <w:szCs w:val="18"/>
          <w:u w:color="000000"/>
          <w:lang w:val="es-ES"/>
          <w14:textOutline w14:w="12700" w14:cap="flat" w14:cmpd="sng" w14:algn="ctr">
            <w14:noFill/>
            <w14:prstDash w14:val="solid"/>
            <w14:miter w14:lim="400000"/>
          </w14:textOutline>
        </w:rPr>
        <w:t>un tāda ir Latvija</w:t>
      </w:r>
      <w:r w:rsidR="003D70D5" w:rsidRPr="0021328C">
        <w:rPr>
          <w:rStyle w:val="None"/>
          <w:sz w:val="18"/>
          <w:szCs w:val="18"/>
          <w:u w:color="000000"/>
          <w:lang w:val="es-ES"/>
          <w14:textOutline w14:w="12700" w14:cap="flat" w14:cmpd="sng" w14:algn="ctr">
            <w14:noFill/>
            <w14:prstDash w14:val="solid"/>
            <w14:miter w14:lim="400000"/>
          </w14:textOutline>
        </w:rPr>
        <w:t>!</w:t>
      </w:r>
    </w:p>
    <w:p w14:paraId="0BC96A22" w14:textId="1B9A7186" w:rsidR="00137DF8" w:rsidRPr="009019B2" w:rsidRDefault="00C10E12">
      <w:pPr>
        <w:pStyle w:val="Default"/>
        <w:spacing w:after="160" w:line="288" w:lineRule="auto"/>
        <w:jc w:val="center"/>
        <w:outlineLvl w:val="0"/>
        <w:rPr>
          <w:rStyle w:val="None"/>
          <w:rFonts w:hint="eastAsia"/>
          <w:sz w:val="18"/>
          <w:szCs w:val="18"/>
          <w:u w:color="000000"/>
          <w:lang w:val="es-ES"/>
          <w14:textOutline w14:w="12700" w14:cap="flat" w14:cmpd="sng" w14:algn="ctr">
            <w14:noFill/>
            <w14:prstDash w14:val="solid"/>
            <w14:miter w14:lim="400000"/>
          </w14:textOutline>
        </w:rPr>
      </w:pPr>
      <w:r w:rsidRPr="009019B2">
        <w:rPr>
          <w:rStyle w:val="None"/>
          <w:sz w:val="18"/>
          <w:szCs w:val="18"/>
          <w:u w:color="000000"/>
          <w:lang w:val="es-ES"/>
          <w14:textOutline w14:w="12700" w14:cap="flat" w14:cmpd="sng" w14:algn="ctr">
            <w14:noFill/>
            <w14:prstDash w14:val="solid"/>
            <w14:miter w14:lim="400000"/>
          </w14:textOutline>
        </w:rPr>
        <w:t>K</w:t>
      </w:r>
      <w:r w:rsidR="0024621C" w:rsidRPr="009019B2">
        <w:rPr>
          <w:rStyle w:val="None"/>
          <w:sz w:val="18"/>
          <w:szCs w:val="18"/>
          <w:u w:color="000000"/>
          <w:lang w:val="es-ES"/>
          <w14:textOutline w14:w="12700" w14:cap="flat" w14:cmpd="sng" w14:algn="ctr">
            <w14:noFill/>
            <w14:prstDash w14:val="solid"/>
            <w14:miter w14:lim="400000"/>
          </w14:textOutline>
        </w:rPr>
        <w:t>atrā individuālā gadījumā</w:t>
      </w:r>
      <w:r w:rsidRPr="009019B2">
        <w:rPr>
          <w:rStyle w:val="None"/>
          <w:sz w:val="18"/>
          <w:szCs w:val="18"/>
          <w:u w:color="000000"/>
          <w:lang w:val="es-ES"/>
          <w14:textOutline w14:w="12700" w14:cap="flat" w14:cmpd="sng" w14:algn="ctr">
            <w14:noFill/>
            <w14:prstDash w14:val="solid"/>
            <w14:miter w14:lim="400000"/>
          </w14:textOutline>
        </w:rPr>
        <w:t xml:space="preserve">, jo īpaši ja incidents ar potenciāli ar trakumsērgu inficētu dzīvnieku ir noticis ārpus Latvijas, trakumsērgas izplatītā valstī, </w:t>
      </w:r>
      <w:r w:rsidR="0024621C" w:rsidRPr="009019B2">
        <w:rPr>
          <w:rStyle w:val="None"/>
          <w:sz w:val="18"/>
          <w:szCs w:val="18"/>
          <w:u w:color="000000"/>
          <w:lang w:val="es-ES"/>
          <w14:textOutline w14:w="12700" w14:cap="flat" w14:cmpd="sng" w14:algn="ctr">
            <w14:noFill/>
            <w14:prstDash w14:val="solid"/>
            <w14:miter w14:lim="400000"/>
          </w14:textOutline>
        </w:rPr>
        <w:t xml:space="preserve"> nepieciešams risku izvērtējums, ko veic pieredzējis speciālists ar zināšanām par lokālajiem epidemioloģijas datiem.  </w:t>
      </w:r>
    </w:p>
    <w:p w14:paraId="48F94F53" w14:textId="55E618F3" w:rsidR="00137DF8" w:rsidRPr="009019B2" w:rsidRDefault="0052012E">
      <w:pPr>
        <w:pStyle w:val="Default"/>
        <w:spacing w:after="160" w:line="288" w:lineRule="auto"/>
        <w:jc w:val="center"/>
        <w:outlineLvl w:val="0"/>
        <w:rPr>
          <w:rStyle w:val="None"/>
          <w:rFonts w:hint="eastAsia"/>
          <w:b/>
          <w:bCs/>
          <w:sz w:val="24"/>
          <w:szCs w:val="24"/>
          <w:u w:val="single" w:color="000000"/>
          <w:lang w:val="es-ES"/>
          <w14:textOutline w14:w="12700" w14:cap="flat" w14:cmpd="sng" w14:algn="ctr">
            <w14:noFill/>
            <w14:prstDash w14:val="solid"/>
            <w14:miter w14:lim="400000"/>
          </w14:textOutline>
        </w:rPr>
      </w:pP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73600" behindDoc="0" locked="0" layoutInCell="1" allowOverlap="1" wp14:anchorId="093BDC19" wp14:editId="587771D0">
            <wp:simplePos x="0" y="0"/>
            <wp:positionH relativeFrom="margin">
              <wp:align>center</wp:align>
            </wp:positionH>
            <wp:positionV relativeFrom="line">
              <wp:posOffset>1978964</wp:posOffset>
            </wp:positionV>
            <wp:extent cx="4613910" cy="1400810"/>
            <wp:effectExtent l="0" t="0" r="0" b="8890"/>
            <wp:wrapThrough wrapText="bothSides" distL="152400" distR="152400">
              <wp:wrapPolygon edited="1">
                <wp:start x="0" y="0"/>
                <wp:lineTo x="21600" y="0"/>
                <wp:lineTo x="21600" y="21608"/>
                <wp:lineTo x="0" y="21608"/>
                <wp:lineTo x="0" y="0"/>
              </wp:wrapPolygon>
            </wp:wrapThrough>
            <wp:docPr id="1073741845" name="officeArt object" descr="Image"/>
            <wp:cNvGraphicFramePr/>
            <a:graphic xmlns:a="http://schemas.openxmlformats.org/drawingml/2006/main">
              <a:graphicData uri="http://schemas.openxmlformats.org/drawingml/2006/picture">
                <pic:pic xmlns:pic="http://schemas.openxmlformats.org/drawingml/2006/picture">
                  <pic:nvPicPr>
                    <pic:cNvPr id="1073741845" name="Image" descr="Image"/>
                    <pic:cNvPicPr>
                      <a:picLocks noChangeAspect="1"/>
                    </pic:cNvPicPr>
                  </pic:nvPicPr>
                  <pic:blipFill>
                    <a:blip r:embed="rId9"/>
                    <a:stretch>
                      <a:fillRect/>
                    </a:stretch>
                  </pic:blipFill>
                  <pic:spPr>
                    <a:xfrm>
                      <a:off x="0" y="0"/>
                      <a:ext cx="4613910" cy="1400810"/>
                    </a:xfrm>
                    <a:prstGeom prst="rect">
                      <a:avLst/>
                    </a:prstGeom>
                    <a:ln w="12700" cap="flat">
                      <a:noFill/>
                      <a:miter lim="400000"/>
                    </a:ln>
                    <a:effectLst/>
                  </pic:spPr>
                </pic:pic>
              </a:graphicData>
            </a:graphic>
          </wp:anchor>
        </w:drawing>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72576" behindDoc="0" locked="0" layoutInCell="1" allowOverlap="1" wp14:anchorId="79562462" wp14:editId="78BEAC0C">
            <wp:simplePos x="0" y="0"/>
            <wp:positionH relativeFrom="margin">
              <wp:align>center</wp:align>
            </wp:positionH>
            <wp:positionV relativeFrom="line">
              <wp:posOffset>340360</wp:posOffset>
            </wp:positionV>
            <wp:extent cx="5640705" cy="1637665"/>
            <wp:effectExtent l="0" t="0" r="0" b="635"/>
            <wp:wrapThrough wrapText="bothSides" distL="152400" distR="152400">
              <wp:wrapPolygon edited="1">
                <wp:start x="0" y="0"/>
                <wp:lineTo x="21600" y="0"/>
                <wp:lineTo x="21600" y="21652"/>
                <wp:lineTo x="0" y="21652"/>
                <wp:lineTo x="0" y="0"/>
              </wp:wrapPolygon>
            </wp:wrapThrough>
            <wp:docPr id="1073741844" name="officeArt object" descr="Image"/>
            <wp:cNvGraphicFramePr/>
            <a:graphic xmlns:a="http://schemas.openxmlformats.org/drawingml/2006/main">
              <a:graphicData uri="http://schemas.openxmlformats.org/drawingml/2006/picture">
                <pic:pic xmlns:pic="http://schemas.openxmlformats.org/drawingml/2006/picture">
                  <pic:nvPicPr>
                    <pic:cNvPr id="1073741844" name="Image" descr="Image"/>
                    <pic:cNvPicPr>
                      <a:picLocks noChangeAspect="1"/>
                    </pic:cNvPicPr>
                  </pic:nvPicPr>
                  <pic:blipFill>
                    <a:blip r:embed="rId10"/>
                    <a:stretch>
                      <a:fillRect/>
                    </a:stretch>
                  </pic:blipFill>
                  <pic:spPr>
                    <a:xfrm>
                      <a:off x="0" y="0"/>
                      <a:ext cx="5640705" cy="1637665"/>
                    </a:xfrm>
                    <a:prstGeom prst="rect">
                      <a:avLst/>
                    </a:prstGeom>
                    <a:ln w="12700" cap="flat">
                      <a:noFill/>
                      <a:miter lim="400000"/>
                    </a:ln>
                    <a:effectLst/>
                  </pic:spPr>
                </pic:pic>
              </a:graphicData>
            </a:graphic>
          </wp:anchor>
        </w:drawing>
      </w:r>
      <w:r w:rsidRPr="009019B2">
        <w:rPr>
          <w:rStyle w:val="None"/>
          <w:b/>
          <w:bCs/>
          <w:sz w:val="24"/>
          <w:szCs w:val="24"/>
          <w:u w:val="single" w:color="000000"/>
          <w:lang w:val="es-ES"/>
          <w14:textOutline w14:w="12700" w14:cap="flat" w14:cmpd="sng" w14:algn="ctr">
            <w14:noFill/>
            <w14:prstDash w14:val="solid"/>
            <w14:miter w14:lim="400000"/>
          </w14:textOutline>
        </w:rPr>
        <w:t xml:space="preserve">1. Izvērtē, vai </w:t>
      </w:r>
      <w:r w:rsidR="00C10E12" w:rsidRPr="009019B2">
        <w:rPr>
          <w:rStyle w:val="None"/>
          <w:b/>
          <w:bCs/>
          <w:sz w:val="24"/>
          <w:szCs w:val="24"/>
          <w:u w:val="single" w:color="000000"/>
          <w:lang w:val="es-ES"/>
          <w14:textOutline w14:w="12700" w14:cap="flat" w14:cmpd="sng" w14:algn="ctr">
            <w14:noFill/>
            <w14:prstDash w14:val="solid"/>
            <w14:miter w14:lim="400000"/>
          </w14:textOutline>
        </w:rPr>
        <w:t xml:space="preserve">valsts un </w:t>
      </w:r>
      <w:r w:rsidRPr="009019B2">
        <w:rPr>
          <w:rStyle w:val="None"/>
          <w:b/>
          <w:bCs/>
          <w:sz w:val="24"/>
          <w:szCs w:val="24"/>
          <w:u w:val="single" w:color="000000"/>
          <w:lang w:val="es-ES"/>
          <w14:textOutline w14:w="12700" w14:cap="flat" w14:cmpd="sng" w14:algn="ctr">
            <w14:noFill/>
            <w14:prstDash w14:val="solid"/>
            <w14:miter w14:lim="400000"/>
          </w14:textOutline>
        </w:rPr>
        <w:t>dzīvnieks, ar ko bijis kontakts, varētu būt iespējami inficēts</w:t>
      </w:r>
    </w:p>
    <w:p w14:paraId="1F650D1A" w14:textId="77777777" w:rsidR="00137DF8" w:rsidRPr="009019B2" w:rsidRDefault="00137DF8">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02B47225" w14:textId="77777777" w:rsidR="00137DF8" w:rsidRPr="009019B2" w:rsidRDefault="00137DF8">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5F8BA4CB" w14:textId="77777777" w:rsidR="00137DF8" w:rsidRPr="009019B2" w:rsidRDefault="00137DF8">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0B3DF829" w14:textId="77777777" w:rsidR="00137DF8" w:rsidRPr="009019B2" w:rsidRDefault="00137DF8">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63660366" w14:textId="77777777" w:rsidR="00137DF8" w:rsidRPr="009019B2" w:rsidRDefault="00137DF8">
      <w:pPr>
        <w:pStyle w:val="Default"/>
        <w:spacing w:after="160" w:line="288" w:lineRule="auto"/>
        <w:jc w:val="center"/>
        <w:outlineLvl w:val="0"/>
        <w:rPr>
          <w:rStyle w:val="None"/>
          <w:rFonts w:hint="eastAsia"/>
          <w:b/>
          <w:bCs/>
          <w:color w:val="B8000B"/>
          <w:sz w:val="18"/>
          <w:szCs w:val="18"/>
          <w:u w:color="000000"/>
          <w:lang w:val="es-ES"/>
          <w14:textOutline w14:w="12700" w14:cap="flat" w14:cmpd="sng" w14:algn="ctr">
            <w14:noFill/>
            <w14:prstDash w14:val="solid"/>
            <w14:miter w14:lim="400000"/>
          </w14:textOutline>
        </w:rPr>
      </w:pPr>
    </w:p>
    <w:p w14:paraId="5B9D5D55" w14:textId="77777777" w:rsidR="00137DF8" w:rsidRPr="009019B2" w:rsidRDefault="00137DF8">
      <w:pPr>
        <w:pStyle w:val="Default"/>
        <w:spacing w:after="160" w:line="288" w:lineRule="auto"/>
        <w:jc w:val="center"/>
        <w:outlineLvl w:val="0"/>
        <w:rPr>
          <w:rStyle w:val="None"/>
          <w:rFonts w:hint="eastAsia"/>
          <w:b/>
          <w:bCs/>
          <w:sz w:val="24"/>
          <w:szCs w:val="24"/>
          <w:u w:color="000000"/>
          <w:lang w:val="es-ES"/>
          <w14:textOutline w14:w="12700" w14:cap="flat" w14:cmpd="sng" w14:algn="ctr">
            <w14:noFill/>
            <w14:prstDash w14:val="solid"/>
            <w14:miter w14:lim="400000"/>
          </w14:textOutline>
        </w:rPr>
      </w:pPr>
    </w:p>
    <w:p w14:paraId="3F127AB1" w14:textId="77777777" w:rsidR="00137DF8" w:rsidRPr="009019B2" w:rsidRDefault="0052012E">
      <w:pPr>
        <w:pStyle w:val="Default"/>
        <w:spacing w:after="160" w:line="288" w:lineRule="auto"/>
        <w:jc w:val="center"/>
        <w:outlineLvl w:val="0"/>
        <w:rPr>
          <w:rStyle w:val="None"/>
          <w:rFonts w:hint="eastAsia"/>
          <w:b/>
          <w:bCs/>
          <w:sz w:val="24"/>
          <w:szCs w:val="24"/>
          <w:u w:val="single" w:color="000000"/>
          <w:lang w:val="es-ES"/>
          <w14:textOutline w14:w="12700" w14:cap="flat" w14:cmpd="sng" w14:algn="ctr">
            <w14:noFill/>
            <w14:prstDash w14:val="solid"/>
            <w14:miter w14:lim="400000"/>
          </w14:textOutline>
        </w:rPr>
      </w:pP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74624" behindDoc="0" locked="0" layoutInCell="1" allowOverlap="1" wp14:anchorId="45DB50A7" wp14:editId="09B20019">
            <wp:simplePos x="0" y="0"/>
            <wp:positionH relativeFrom="margin">
              <wp:align>right</wp:align>
            </wp:positionH>
            <wp:positionV relativeFrom="line">
              <wp:posOffset>345660</wp:posOffset>
            </wp:positionV>
            <wp:extent cx="6184900" cy="1305295"/>
            <wp:effectExtent l="0" t="0" r="6350" b="9525"/>
            <wp:wrapThrough wrapText="bothSides" distL="152400" distR="152400">
              <wp:wrapPolygon edited="1">
                <wp:start x="0" y="0"/>
                <wp:lineTo x="21600" y="0"/>
                <wp:lineTo x="21600" y="21600"/>
                <wp:lineTo x="0" y="21600"/>
                <wp:lineTo x="0" y="0"/>
              </wp:wrapPolygon>
            </wp:wrapThrough>
            <wp:docPr id="1073741846" name="officeArt object" descr="Image"/>
            <wp:cNvGraphicFramePr/>
            <a:graphic xmlns:a="http://schemas.openxmlformats.org/drawingml/2006/main">
              <a:graphicData uri="http://schemas.openxmlformats.org/drawingml/2006/picture">
                <pic:pic xmlns:pic="http://schemas.openxmlformats.org/drawingml/2006/picture">
                  <pic:nvPicPr>
                    <pic:cNvPr id="1073741846" name="Image" descr="Image"/>
                    <pic:cNvPicPr>
                      <a:picLocks noChangeAspect="1"/>
                    </pic:cNvPicPr>
                  </pic:nvPicPr>
                  <pic:blipFill>
                    <a:blip r:embed="rId11"/>
                    <a:stretch>
                      <a:fillRect/>
                    </a:stretch>
                  </pic:blipFill>
                  <pic:spPr>
                    <a:xfrm>
                      <a:off x="0" y="0"/>
                      <a:ext cx="6184900" cy="1305295"/>
                    </a:xfrm>
                    <a:prstGeom prst="rect">
                      <a:avLst/>
                    </a:prstGeom>
                    <a:ln w="12700" cap="flat">
                      <a:noFill/>
                      <a:miter lim="400000"/>
                    </a:ln>
                    <a:effectLst/>
                  </pic:spPr>
                </pic:pic>
              </a:graphicData>
            </a:graphic>
          </wp:anchor>
        </w:drawing>
      </w:r>
      <w:r w:rsidRPr="009019B2">
        <w:rPr>
          <w:rStyle w:val="None"/>
          <w:b/>
          <w:bCs/>
          <w:sz w:val="24"/>
          <w:szCs w:val="24"/>
          <w:u w:val="single" w:color="000000"/>
          <w:lang w:val="es-ES"/>
          <w14:textOutline w14:w="12700" w14:cap="flat" w14:cmpd="sng" w14:algn="ctr">
            <w14:noFill/>
            <w14:prstDash w14:val="solid"/>
            <w14:miter w14:lim="400000"/>
          </w14:textOutline>
        </w:rPr>
        <w:t>2. Izvērtē, vai PEP jāuzsāk nekavējoši vai var nogaidīt</w:t>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75648" behindDoc="0" locked="0" layoutInCell="1" allowOverlap="1" wp14:anchorId="0CBA6201" wp14:editId="654E6633">
            <wp:simplePos x="0" y="0"/>
            <wp:positionH relativeFrom="margin">
              <wp:posOffset>-6350</wp:posOffset>
            </wp:positionH>
            <wp:positionV relativeFrom="line">
              <wp:posOffset>1685224</wp:posOffset>
            </wp:positionV>
            <wp:extent cx="6184900" cy="710345"/>
            <wp:effectExtent l="0" t="0" r="0" b="0"/>
            <wp:wrapThrough wrapText="bothSides" distL="152400" distR="152400">
              <wp:wrapPolygon edited="1">
                <wp:start x="0" y="0"/>
                <wp:lineTo x="21600" y="0"/>
                <wp:lineTo x="21600" y="21600"/>
                <wp:lineTo x="0" y="21600"/>
                <wp:lineTo x="0" y="0"/>
              </wp:wrapPolygon>
            </wp:wrapThrough>
            <wp:docPr id="1073741847" name="officeArt object" descr="Image"/>
            <wp:cNvGraphicFramePr/>
            <a:graphic xmlns:a="http://schemas.openxmlformats.org/drawingml/2006/main">
              <a:graphicData uri="http://schemas.openxmlformats.org/drawingml/2006/picture">
                <pic:pic xmlns:pic="http://schemas.openxmlformats.org/drawingml/2006/picture">
                  <pic:nvPicPr>
                    <pic:cNvPr id="1073741847" name="Image" descr="Image"/>
                    <pic:cNvPicPr>
                      <a:picLocks noChangeAspect="1"/>
                    </pic:cNvPicPr>
                  </pic:nvPicPr>
                  <pic:blipFill>
                    <a:blip r:embed="rId12"/>
                    <a:stretch>
                      <a:fillRect/>
                    </a:stretch>
                  </pic:blipFill>
                  <pic:spPr>
                    <a:xfrm>
                      <a:off x="0" y="0"/>
                      <a:ext cx="6184900" cy="710345"/>
                    </a:xfrm>
                    <a:prstGeom prst="rect">
                      <a:avLst/>
                    </a:prstGeom>
                    <a:ln w="12700" cap="flat">
                      <a:noFill/>
                      <a:miter lim="400000"/>
                    </a:ln>
                    <a:effectLst/>
                  </pic:spPr>
                </pic:pic>
              </a:graphicData>
            </a:graphic>
          </wp:anchor>
        </w:drawing>
      </w:r>
      <w:r>
        <w:rPr>
          <w:rStyle w:val="None"/>
          <w:b/>
          <w:bCs/>
          <w:noProof/>
          <w:sz w:val="24"/>
          <w:szCs w:val="24"/>
          <w:u w:val="single" w:color="000000"/>
          <w:lang w:val="lv-LV"/>
          <w14:textOutline w14:w="12700" w14:cap="flat" w14:cmpd="sng" w14:algn="ctr">
            <w14:noFill/>
            <w14:prstDash w14:val="solid"/>
            <w14:miter w14:lim="400000"/>
          </w14:textOutline>
        </w:rPr>
        <w:drawing>
          <wp:anchor distT="152400" distB="152400" distL="152400" distR="152400" simplePos="0" relativeHeight="251676672" behindDoc="0" locked="0" layoutInCell="1" allowOverlap="1" wp14:anchorId="0BB3A851" wp14:editId="064CF396">
            <wp:simplePos x="0" y="0"/>
            <wp:positionH relativeFrom="margin">
              <wp:posOffset>613779</wp:posOffset>
            </wp:positionH>
            <wp:positionV relativeFrom="line">
              <wp:posOffset>2579525</wp:posOffset>
            </wp:positionV>
            <wp:extent cx="4944641" cy="558108"/>
            <wp:effectExtent l="0" t="0" r="0" b="0"/>
            <wp:wrapThrough wrapText="bothSides" distL="152400" distR="152400">
              <wp:wrapPolygon edited="1">
                <wp:start x="0" y="0"/>
                <wp:lineTo x="21600" y="0"/>
                <wp:lineTo x="21600" y="21600"/>
                <wp:lineTo x="0" y="21600"/>
                <wp:lineTo x="0" y="0"/>
              </wp:wrapPolygon>
            </wp:wrapThrough>
            <wp:docPr id="1073741848" name="officeArt object" descr="Image"/>
            <wp:cNvGraphicFramePr/>
            <a:graphic xmlns:a="http://schemas.openxmlformats.org/drawingml/2006/main">
              <a:graphicData uri="http://schemas.openxmlformats.org/drawingml/2006/picture">
                <pic:pic xmlns:pic="http://schemas.openxmlformats.org/drawingml/2006/picture">
                  <pic:nvPicPr>
                    <pic:cNvPr id="1073741848" name="Image" descr="Image"/>
                    <pic:cNvPicPr>
                      <a:picLocks noChangeAspect="1"/>
                    </pic:cNvPicPr>
                  </pic:nvPicPr>
                  <pic:blipFill>
                    <a:blip r:embed="rId13"/>
                    <a:stretch>
                      <a:fillRect/>
                    </a:stretch>
                  </pic:blipFill>
                  <pic:spPr>
                    <a:xfrm>
                      <a:off x="0" y="0"/>
                      <a:ext cx="4944641" cy="558108"/>
                    </a:xfrm>
                    <a:prstGeom prst="rect">
                      <a:avLst/>
                    </a:prstGeom>
                    <a:ln w="12700" cap="flat">
                      <a:noFill/>
                      <a:miter lim="400000"/>
                    </a:ln>
                    <a:effectLst/>
                  </pic:spPr>
                </pic:pic>
              </a:graphicData>
            </a:graphic>
          </wp:anchor>
        </w:drawing>
      </w:r>
    </w:p>
    <w:p w14:paraId="42F9B8F5" w14:textId="77777777" w:rsidR="00137DF8" w:rsidRPr="009019B2" w:rsidRDefault="00137DF8">
      <w:pPr>
        <w:pStyle w:val="Default"/>
        <w:spacing w:after="160" w:line="288" w:lineRule="auto"/>
        <w:jc w:val="center"/>
        <w:outlineLvl w:val="0"/>
        <w:rPr>
          <w:rStyle w:val="None"/>
          <w:rFonts w:hint="eastAsia"/>
          <w:b/>
          <w:bCs/>
          <w:sz w:val="24"/>
          <w:szCs w:val="24"/>
          <w:u w:color="000000"/>
          <w:lang w:val="es-ES"/>
          <w14:textOutline w14:w="12700" w14:cap="flat" w14:cmpd="sng" w14:algn="ctr">
            <w14:noFill/>
            <w14:prstDash w14:val="solid"/>
            <w14:miter w14:lim="400000"/>
          </w14:textOutline>
        </w:rPr>
      </w:pPr>
    </w:p>
    <w:p w14:paraId="013974FC" w14:textId="77777777" w:rsidR="00137DF8" w:rsidRPr="009019B2" w:rsidRDefault="00137DF8">
      <w:pPr>
        <w:pStyle w:val="Default"/>
        <w:spacing w:after="160" w:line="288" w:lineRule="auto"/>
        <w:jc w:val="center"/>
        <w:outlineLvl w:val="0"/>
        <w:rPr>
          <w:rStyle w:val="None"/>
          <w:rFonts w:hint="eastAsia"/>
          <w:b/>
          <w:bCs/>
          <w:sz w:val="24"/>
          <w:szCs w:val="24"/>
          <w:u w:color="000000"/>
          <w:lang w:val="es-ES"/>
          <w14:textOutline w14:w="12700" w14:cap="flat" w14:cmpd="sng" w14:algn="ctr">
            <w14:noFill/>
            <w14:prstDash w14:val="solid"/>
            <w14:miter w14:lim="400000"/>
          </w14:textOutline>
        </w:rPr>
      </w:pPr>
    </w:p>
    <w:p w14:paraId="1449A331" w14:textId="77777777" w:rsidR="00137DF8" w:rsidRPr="009019B2" w:rsidRDefault="0024621C">
      <w:pPr>
        <w:pStyle w:val="Default"/>
        <w:spacing w:after="160" w:line="288" w:lineRule="auto"/>
        <w:jc w:val="center"/>
        <w:outlineLvl w:val="0"/>
        <w:rPr>
          <w:rFonts w:hint="eastAsia"/>
          <w:lang w:val="es-ES"/>
        </w:rPr>
      </w:pPr>
      <w:r w:rsidRPr="009019B2">
        <w:rPr>
          <w:rStyle w:val="None"/>
          <w:b/>
          <w:bCs/>
          <w:sz w:val="24"/>
          <w:szCs w:val="24"/>
          <w:u w:color="000000"/>
          <w:lang w:val="es-ES"/>
          <w14:textOutline w14:w="12700" w14:cap="flat" w14:cmpd="sng" w14:algn="ctr">
            <w14:noFill/>
            <w14:prstDash w14:val="solid"/>
            <w14:miter w14:lim="400000"/>
          </w14:textOutline>
        </w:rPr>
        <w:lastRenderedPageBreak/>
        <w:t xml:space="preserve">3. Izvērtē ekspozīcijas kategoriju un rīkojies atbilstoši personas imunizācijas statusam </w:t>
      </w:r>
      <w:r w:rsidR="00A07B79">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78720" behindDoc="0" locked="0" layoutInCell="1" allowOverlap="1" wp14:anchorId="512971E5" wp14:editId="3E034512">
            <wp:simplePos x="0" y="0"/>
            <wp:positionH relativeFrom="margin">
              <wp:align>center</wp:align>
            </wp:positionH>
            <wp:positionV relativeFrom="line">
              <wp:posOffset>7934960</wp:posOffset>
            </wp:positionV>
            <wp:extent cx="6543675" cy="476885"/>
            <wp:effectExtent l="0" t="0" r="9525" b="0"/>
            <wp:wrapThrough wrapText="bothSides" distL="152400" distR="152400">
              <wp:wrapPolygon edited="1">
                <wp:start x="0" y="0"/>
                <wp:lineTo x="21600" y="0"/>
                <wp:lineTo x="21600" y="21684"/>
                <wp:lineTo x="0" y="21684"/>
                <wp:lineTo x="0" y="0"/>
              </wp:wrapPolygon>
            </wp:wrapThrough>
            <wp:docPr id="1073741850" name="officeArt object" descr="Image"/>
            <wp:cNvGraphicFramePr/>
            <a:graphic xmlns:a="http://schemas.openxmlformats.org/drawingml/2006/main">
              <a:graphicData uri="http://schemas.openxmlformats.org/drawingml/2006/picture">
                <pic:pic xmlns:pic="http://schemas.openxmlformats.org/drawingml/2006/picture">
                  <pic:nvPicPr>
                    <pic:cNvPr id="1073741850" name="Image" descr="Image"/>
                    <pic:cNvPicPr>
                      <a:picLocks noChangeAspect="1"/>
                    </pic:cNvPicPr>
                  </pic:nvPicPr>
                  <pic:blipFill>
                    <a:blip r:embed="rId14"/>
                    <a:stretch>
                      <a:fillRect/>
                    </a:stretch>
                  </pic:blipFill>
                  <pic:spPr>
                    <a:xfrm>
                      <a:off x="0" y="0"/>
                      <a:ext cx="6543675" cy="47688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07B79">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77696" behindDoc="0" locked="0" layoutInCell="1" allowOverlap="1" wp14:anchorId="1E7D8614" wp14:editId="508D6C21">
            <wp:simplePos x="0" y="0"/>
            <wp:positionH relativeFrom="margin">
              <wp:posOffset>-121285</wp:posOffset>
            </wp:positionH>
            <wp:positionV relativeFrom="line">
              <wp:posOffset>4516120</wp:posOffset>
            </wp:positionV>
            <wp:extent cx="6368415" cy="3307715"/>
            <wp:effectExtent l="0" t="0" r="0" b="6985"/>
            <wp:wrapThrough wrapText="bothSides" distL="152400" distR="152400">
              <wp:wrapPolygon edited="1">
                <wp:start x="0" y="0"/>
                <wp:lineTo x="21600" y="0"/>
                <wp:lineTo x="21600" y="21604"/>
                <wp:lineTo x="0" y="21604"/>
                <wp:lineTo x="0" y="0"/>
              </wp:wrapPolygon>
            </wp:wrapThrough>
            <wp:docPr id="1073741849" name="officeArt object" descr="Image"/>
            <wp:cNvGraphicFramePr/>
            <a:graphic xmlns:a="http://schemas.openxmlformats.org/drawingml/2006/main">
              <a:graphicData uri="http://schemas.openxmlformats.org/drawingml/2006/picture">
                <pic:pic xmlns:pic="http://schemas.openxmlformats.org/drawingml/2006/picture">
                  <pic:nvPicPr>
                    <pic:cNvPr id="1073741849" name="Image" descr="Image"/>
                    <pic:cNvPicPr>
                      <a:picLocks noChangeAspect="1"/>
                    </pic:cNvPicPr>
                  </pic:nvPicPr>
                  <pic:blipFill>
                    <a:blip r:embed="rId15"/>
                    <a:stretch>
                      <a:fillRect/>
                    </a:stretch>
                  </pic:blipFill>
                  <pic:spPr>
                    <a:xfrm>
                      <a:off x="0" y="0"/>
                      <a:ext cx="6368415" cy="33077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A07B79">
        <w:rPr>
          <w:rStyle w:val="None"/>
          <w:b/>
          <w:bCs/>
          <w:noProof/>
          <w:sz w:val="24"/>
          <w:szCs w:val="24"/>
          <w:u w:color="000000"/>
          <w:lang w:val="lv-LV"/>
          <w14:textOutline w14:w="12700" w14:cap="flat" w14:cmpd="sng" w14:algn="ctr">
            <w14:noFill/>
            <w14:prstDash w14:val="solid"/>
            <w14:miter w14:lim="400000"/>
          </w14:textOutline>
        </w:rPr>
        <w:drawing>
          <wp:anchor distT="152400" distB="152400" distL="152400" distR="152400" simplePos="0" relativeHeight="251679744" behindDoc="0" locked="0" layoutInCell="1" allowOverlap="1" wp14:anchorId="5C7A1709" wp14:editId="52D2A76F">
            <wp:simplePos x="0" y="0"/>
            <wp:positionH relativeFrom="margin">
              <wp:align>center</wp:align>
            </wp:positionH>
            <wp:positionV relativeFrom="line">
              <wp:posOffset>373435</wp:posOffset>
            </wp:positionV>
            <wp:extent cx="6511290" cy="4142105"/>
            <wp:effectExtent l="0" t="0" r="3810" b="0"/>
            <wp:wrapThrough wrapText="bothSides" distL="152400" distR="152400">
              <wp:wrapPolygon edited="1">
                <wp:start x="0" y="0"/>
                <wp:lineTo x="21600" y="0"/>
                <wp:lineTo x="21600" y="21618"/>
                <wp:lineTo x="0" y="21618"/>
                <wp:lineTo x="0" y="0"/>
              </wp:wrapPolygon>
            </wp:wrapThrough>
            <wp:docPr id="1073741851" name="officeArt object" descr="Image"/>
            <wp:cNvGraphicFramePr/>
            <a:graphic xmlns:a="http://schemas.openxmlformats.org/drawingml/2006/main">
              <a:graphicData uri="http://schemas.openxmlformats.org/drawingml/2006/picture">
                <pic:pic xmlns:pic="http://schemas.openxmlformats.org/drawingml/2006/picture">
                  <pic:nvPicPr>
                    <pic:cNvPr id="1073741851" name="Image" descr="Image"/>
                    <pic:cNvPicPr>
                      <a:picLocks noChangeAspect="1"/>
                    </pic:cNvPicPr>
                  </pic:nvPicPr>
                  <pic:blipFill>
                    <a:blip r:embed="rId16"/>
                    <a:stretch>
                      <a:fillRect/>
                    </a:stretch>
                  </pic:blipFill>
                  <pic:spPr>
                    <a:xfrm>
                      <a:off x="0" y="0"/>
                      <a:ext cx="6511290" cy="414210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9019B2">
        <w:rPr>
          <w:rStyle w:val="None"/>
          <w:b/>
          <w:bCs/>
          <w:sz w:val="24"/>
          <w:szCs w:val="24"/>
          <w:u w:color="000000"/>
          <w:lang w:val="es-ES"/>
          <w14:textOutline w14:w="12700" w14:cap="flat" w14:cmpd="sng" w14:algn="ctr">
            <w14:noFill/>
            <w14:prstDash w14:val="solid"/>
            <w14:miter w14:lim="400000"/>
          </w14:textOutline>
        </w:rPr>
        <w:t>un imūnās sistēmas stāvoklim</w:t>
      </w:r>
    </w:p>
    <w:sectPr w:rsidR="00137DF8" w:rsidRPr="009019B2">
      <w:headerReference w:type="default" r:id="rId49"/>
      <w:pgSz w:w="11900" w:h="16840"/>
      <w:pgMar w:top="1440" w:right="1080" w:bottom="1800" w:left="1080" w:header="500" w:footer="4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580DF" w14:textId="77777777" w:rsidR="00F42A5F" w:rsidRDefault="00F42A5F">
      <w:r>
        <w:separator/>
      </w:r>
    </w:p>
  </w:endnote>
  <w:endnote w:type="continuationSeparator" w:id="0">
    <w:p w14:paraId="4F69A033" w14:textId="77777777" w:rsidR="00F42A5F" w:rsidRDefault="00F42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raphik Semibold">
    <w:altName w:val="Cambria"/>
    <w:charset w:val="00"/>
    <w:family w:val="roman"/>
    <w:pitch w:val="default"/>
  </w:font>
  <w:font w:name="Graphik">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7E118" w14:textId="1C55E1D6" w:rsidR="00137DF8" w:rsidRDefault="0024621C">
    <w:pPr>
      <w:pStyle w:val="HeaderFooter"/>
      <w:tabs>
        <w:tab w:val="center" w:pos="4870"/>
        <w:tab w:val="right" w:pos="9740"/>
      </w:tabs>
      <w:rPr>
        <w:rFonts w:hint="eastAsia"/>
      </w:rPr>
    </w:pPr>
    <w:r>
      <w:fldChar w:fldCharType="begin"/>
    </w:r>
    <w:r>
      <w:instrText xml:space="preserve"> PAGE </w:instrText>
    </w:r>
    <w:r>
      <w:fldChar w:fldCharType="separate"/>
    </w:r>
    <w:r w:rsidR="001C3BE6">
      <w:rPr>
        <w:rFonts w:hint="eastAsia"/>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4BBF4C" w14:textId="77777777" w:rsidR="00F42A5F" w:rsidRDefault="00F42A5F">
      <w:r>
        <w:separator/>
      </w:r>
    </w:p>
  </w:footnote>
  <w:footnote w:type="continuationSeparator" w:id="0">
    <w:p w14:paraId="3D8ACF13" w14:textId="77777777" w:rsidR="00F42A5F" w:rsidRDefault="00F42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15419" w14:textId="77777777" w:rsidR="00137DF8" w:rsidRDefault="0024621C">
    <w:pPr>
      <w:pStyle w:val="HeaderFooter"/>
      <w:tabs>
        <w:tab w:val="center" w:pos="4870"/>
        <w:tab w:val="right" w:pos="9740"/>
      </w:tabs>
      <w:rPr>
        <w:rFonts w:hint="eastAsia"/>
      </w:rPr>
    </w:pPr>
    <w:r>
      <w:rPr>
        <w:color w:val="5E5E5E"/>
      </w:rPr>
      <w:t>Trakumsērgas cilvēkiem diagnostikas un profilakses standarts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06349" w14:textId="3042D7B3" w:rsidR="00137DF8" w:rsidRDefault="003062F3">
    <w:pPr>
      <w:pStyle w:val="HeaderFooter"/>
      <w:tabs>
        <w:tab w:val="center" w:pos="4870"/>
        <w:tab w:val="right" w:pos="9740"/>
      </w:tabs>
      <w:rPr>
        <w:rFonts w:hint="eastAsia"/>
      </w:rPr>
    </w:pPr>
    <w:r>
      <w:rPr>
        <w:noProof/>
      </w:rPr>
      <mc:AlternateContent>
        <mc:Choice Requires="wps">
          <w:drawing>
            <wp:anchor distT="0" distB="0" distL="118745" distR="118745" simplePos="0" relativeHeight="251659264" behindDoc="1" locked="0" layoutInCell="1" allowOverlap="0" wp14:anchorId="0F59B570" wp14:editId="7F92412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9BCEFA9" w14:textId="229CF3E5" w:rsidR="003062F3" w:rsidRDefault="003062F3">
                              <w:pPr>
                                <w:pStyle w:val="Header"/>
                                <w:jc w:val="center"/>
                                <w:rPr>
                                  <w:caps/>
                                  <w:color w:val="FFFFFF" w:themeColor="background1"/>
                                </w:rPr>
                              </w:pPr>
                              <w:r>
                                <w:rPr>
                                  <w:caps/>
                                  <w:color w:val="FFFFFF" w:themeColor="background1"/>
                                </w:rPr>
                                <w:t>Trakumsērga cilvēkiem. diagnostikas un profilakses standarts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F59B570" id="Rectangle 197" o:spid="_x0000_s1030"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" o:allowoverlap="f" fillcolor="#599dff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9BCEFA9" w14:textId="229CF3E5" w:rsidR="003062F3" w:rsidRDefault="003062F3">
                        <w:pPr>
                          <w:pStyle w:val="Header"/>
                          <w:jc w:val="center"/>
                          <w:rPr>
                            <w:caps/>
                            <w:color w:val="FFFFFF" w:themeColor="background1"/>
                          </w:rPr>
                        </w:pPr>
                        <w:r>
                          <w:rPr>
                            <w:caps/>
                            <w:color w:val="FFFFFF" w:themeColor="background1"/>
                          </w:rPr>
                          <w:t>Trakumsērga cilvēkiem. diagnostikas un profilakses standarts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A83702"/>
    <w:multiLevelType w:val="hybridMultilevel"/>
    <w:tmpl w:val="0476A3DE"/>
    <w:styleLink w:val="Numbered"/>
    <w:lvl w:ilvl="0" w:tplc="187224EE">
      <w:start w:val="1"/>
      <w:numFmt w:val="decimal"/>
      <w:lvlText w:val="%1."/>
      <w:lvlJc w:val="left"/>
      <w:pPr>
        <w:ind w:left="293" w:hanging="293"/>
      </w:pPr>
      <w:rPr>
        <w:rFonts w:hAnsi="Arial Unicode MS"/>
        <w:caps w:val="0"/>
        <w:smallCaps w:val="0"/>
        <w:strike w:val="0"/>
        <w:dstrike w:val="0"/>
        <w:outline w:val="0"/>
        <w:emboss w:val="0"/>
        <w:imprint w:val="0"/>
        <w:spacing w:val="0"/>
        <w:w w:val="100"/>
        <w:kern w:val="0"/>
        <w:position w:val="0"/>
        <w:highlight w:val="none"/>
        <w:vertAlign w:val="baseline"/>
      </w:rPr>
    </w:lvl>
    <w:lvl w:ilvl="1" w:tplc="23F037EA">
      <w:start w:val="1"/>
      <w:numFmt w:val="decimal"/>
      <w:lvlText w:val="%2."/>
      <w:lvlJc w:val="left"/>
      <w:pPr>
        <w:ind w:left="813" w:hanging="293"/>
      </w:pPr>
      <w:rPr>
        <w:rFonts w:hAnsi="Arial Unicode MS"/>
        <w:caps w:val="0"/>
        <w:smallCaps w:val="0"/>
        <w:strike w:val="0"/>
        <w:dstrike w:val="0"/>
        <w:outline w:val="0"/>
        <w:emboss w:val="0"/>
        <w:imprint w:val="0"/>
        <w:spacing w:val="0"/>
        <w:w w:val="100"/>
        <w:kern w:val="0"/>
        <w:position w:val="0"/>
        <w:highlight w:val="none"/>
        <w:vertAlign w:val="baseline"/>
      </w:rPr>
    </w:lvl>
    <w:lvl w:ilvl="2" w:tplc="925A1366">
      <w:start w:val="1"/>
      <w:numFmt w:val="decimal"/>
      <w:lvlText w:val="%3."/>
      <w:lvlJc w:val="left"/>
      <w:pPr>
        <w:ind w:left="1333" w:hanging="293"/>
      </w:pPr>
      <w:rPr>
        <w:rFonts w:hAnsi="Arial Unicode MS"/>
        <w:caps w:val="0"/>
        <w:smallCaps w:val="0"/>
        <w:strike w:val="0"/>
        <w:dstrike w:val="0"/>
        <w:outline w:val="0"/>
        <w:emboss w:val="0"/>
        <w:imprint w:val="0"/>
        <w:spacing w:val="0"/>
        <w:w w:val="100"/>
        <w:kern w:val="0"/>
        <w:position w:val="0"/>
        <w:highlight w:val="none"/>
        <w:vertAlign w:val="baseline"/>
      </w:rPr>
    </w:lvl>
    <w:lvl w:ilvl="3" w:tplc="89F63A3A">
      <w:start w:val="1"/>
      <w:numFmt w:val="decimal"/>
      <w:lvlText w:val="%4."/>
      <w:lvlJc w:val="left"/>
      <w:pPr>
        <w:ind w:left="1853" w:hanging="293"/>
      </w:pPr>
      <w:rPr>
        <w:rFonts w:hAnsi="Arial Unicode MS"/>
        <w:caps w:val="0"/>
        <w:smallCaps w:val="0"/>
        <w:strike w:val="0"/>
        <w:dstrike w:val="0"/>
        <w:outline w:val="0"/>
        <w:emboss w:val="0"/>
        <w:imprint w:val="0"/>
        <w:spacing w:val="0"/>
        <w:w w:val="100"/>
        <w:kern w:val="0"/>
        <w:position w:val="0"/>
        <w:highlight w:val="none"/>
        <w:vertAlign w:val="baseline"/>
      </w:rPr>
    </w:lvl>
    <w:lvl w:ilvl="4" w:tplc="19F2AB7C">
      <w:start w:val="1"/>
      <w:numFmt w:val="decimal"/>
      <w:lvlText w:val="%5."/>
      <w:lvlJc w:val="left"/>
      <w:pPr>
        <w:ind w:left="2373" w:hanging="293"/>
      </w:pPr>
      <w:rPr>
        <w:rFonts w:hAnsi="Arial Unicode MS"/>
        <w:caps w:val="0"/>
        <w:smallCaps w:val="0"/>
        <w:strike w:val="0"/>
        <w:dstrike w:val="0"/>
        <w:outline w:val="0"/>
        <w:emboss w:val="0"/>
        <w:imprint w:val="0"/>
        <w:spacing w:val="0"/>
        <w:w w:val="100"/>
        <w:kern w:val="0"/>
        <w:position w:val="0"/>
        <w:highlight w:val="none"/>
        <w:vertAlign w:val="baseline"/>
      </w:rPr>
    </w:lvl>
    <w:lvl w:ilvl="5" w:tplc="573C2F52">
      <w:start w:val="1"/>
      <w:numFmt w:val="decimal"/>
      <w:lvlText w:val="%6."/>
      <w:lvlJc w:val="left"/>
      <w:pPr>
        <w:ind w:left="2893" w:hanging="293"/>
      </w:pPr>
      <w:rPr>
        <w:rFonts w:hAnsi="Arial Unicode MS"/>
        <w:caps w:val="0"/>
        <w:smallCaps w:val="0"/>
        <w:strike w:val="0"/>
        <w:dstrike w:val="0"/>
        <w:outline w:val="0"/>
        <w:emboss w:val="0"/>
        <w:imprint w:val="0"/>
        <w:spacing w:val="0"/>
        <w:w w:val="100"/>
        <w:kern w:val="0"/>
        <w:position w:val="0"/>
        <w:highlight w:val="none"/>
        <w:vertAlign w:val="baseline"/>
      </w:rPr>
    </w:lvl>
    <w:lvl w:ilvl="6" w:tplc="E8E4347A">
      <w:start w:val="1"/>
      <w:numFmt w:val="decimal"/>
      <w:lvlText w:val="%7."/>
      <w:lvlJc w:val="left"/>
      <w:pPr>
        <w:ind w:left="3413" w:hanging="293"/>
      </w:pPr>
      <w:rPr>
        <w:rFonts w:hAnsi="Arial Unicode MS"/>
        <w:caps w:val="0"/>
        <w:smallCaps w:val="0"/>
        <w:strike w:val="0"/>
        <w:dstrike w:val="0"/>
        <w:outline w:val="0"/>
        <w:emboss w:val="0"/>
        <w:imprint w:val="0"/>
        <w:spacing w:val="0"/>
        <w:w w:val="100"/>
        <w:kern w:val="0"/>
        <w:position w:val="0"/>
        <w:highlight w:val="none"/>
        <w:vertAlign w:val="baseline"/>
      </w:rPr>
    </w:lvl>
    <w:lvl w:ilvl="7" w:tplc="731679D2">
      <w:start w:val="1"/>
      <w:numFmt w:val="decimal"/>
      <w:lvlText w:val="%8."/>
      <w:lvlJc w:val="left"/>
      <w:pPr>
        <w:ind w:left="3933" w:hanging="293"/>
      </w:pPr>
      <w:rPr>
        <w:rFonts w:hAnsi="Arial Unicode MS"/>
        <w:caps w:val="0"/>
        <w:smallCaps w:val="0"/>
        <w:strike w:val="0"/>
        <w:dstrike w:val="0"/>
        <w:outline w:val="0"/>
        <w:emboss w:val="0"/>
        <w:imprint w:val="0"/>
        <w:spacing w:val="0"/>
        <w:w w:val="100"/>
        <w:kern w:val="0"/>
        <w:position w:val="0"/>
        <w:highlight w:val="none"/>
        <w:vertAlign w:val="baseline"/>
      </w:rPr>
    </w:lvl>
    <w:lvl w:ilvl="8" w:tplc="EDB27168">
      <w:start w:val="1"/>
      <w:numFmt w:val="decimal"/>
      <w:lvlText w:val="%9."/>
      <w:lvlJc w:val="left"/>
      <w:pPr>
        <w:ind w:left="4453" w:hanging="2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9157681"/>
    <w:multiLevelType w:val="hybridMultilevel"/>
    <w:tmpl w:val="0476A3DE"/>
    <w:numStyleLink w:val="Numbered"/>
  </w:abstractNum>
  <w:num w:numId="1" w16cid:durableId="488593413">
    <w:abstractNumId w:val="0"/>
  </w:num>
  <w:num w:numId="2" w16cid:durableId="1130247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DF8"/>
    <w:rsid w:val="00071879"/>
    <w:rsid w:val="000A1CF1"/>
    <w:rsid w:val="000B7B11"/>
    <w:rsid w:val="000E0FAC"/>
    <w:rsid w:val="000E6321"/>
    <w:rsid w:val="00137DF8"/>
    <w:rsid w:val="00144653"/>
    <w:rsid w:val="001C3BE6"/>
    <w:rsid w:val="001F0D9E"/>
    <w:rsid w:val="0021328C"/>
    <w:rsid w:val="0024621C"/>
    <w:rsid w:val="002A7A5B"/>
    <w:rsid w:val="002C6203"/>
    <w:rsid w:val="002D61D6"/>
    <w:rsid w:val="003062F3"/>
    <w:rsid w:val="00316B70"/>
    <w:rsid w:val="00343D45"/>
    <w:rsid w:val="003D70D5"/>
    <w:rsid w:val="00407BF0"/>
    <w:rsid w:val="00410DA1"/>
    <w:rsid w:val="004902BD"/>
    <w:rsid w:val="0049203F"/>
    <w:rsid w:val="004E71CD"/>
    <w:rsid w:val="0052012E"/>
    <w:rsid w:val="00600FAC"/>
    <w:rsid w:val="00666469"/>
    <w:rsid w:val="00682354"/>
    <w:rsid w:val="006D3370"/>
    <w:rsid w:val="00794BB6"/>
    <w:rsid w:val="00824794"/>
    <w:rsid w:val="009019B2"/>
    <w:rsid w:val="0096140D"/>
    <w:rsid w:val="00973DCD"/>
    <w:rsid w:val="00A07B79"/>
    <w:rsid w:val="00A96979"/>
    <w:rsid w:val="00C0124E"/>
    <w:rsid w:val="00C10E12"/>
    <w:rsid w:val="00C22E1D"/>
    <w:rsid w:val="00E052D2"/>
    <w:rsid w:val="00F42A5F"/>
    <w:rsid w:val="00FE65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EA69C"/>
  <w15:docId w15:val="{D0A8D3CF-5834-488B-8EF2-EAD817CB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uiPriority w:val="9"/>
    <w:unhideWhenUsed/>
    <w:qFormat/>
    <w:pPr>
      <w:outlineLvl w:val="1"/>
    </w:pPr>
    <w:rPr>
      <w:rFonts w:ascii="Graphik Semibold" w:hAnsi="Graphik Semibold" w:cs="Arial Unicode MS"/>
      <w:caps/>
      <w:color w:val="3C8BC1"/>
      <w:spacing w:val="-12"/>
      <w:sz w:val="32"/>
      <w:szCs w:val="32"/>
      <w14:textOutline w14:w="0" w14:cap="flat" w14:cmpd="sng" w14:algn="ctr">
        <w14:noFill/>
        <w14:prstDash w14:val="solid"/>
        <w14:bevel/>
      </w14:textOutline>
    </w:rPr>
  </w:style>
  <w:style w:type="paragraph" w:styleId="Heading3">
    <w:name w:val="heading 3"/>
    <w:uiPriority w:val="9"/>
    <w:unhideWhenUsed/>
    <w:qFormat/>
    <w:pPr>
      <w:spacing w:after="120" w:line="216" w:lineRule="auto"/>
      <w:jc w:val="center"/>
      <w:outlineLvl w:val="2"/>
    </w:pPr>
    <w:rPr>
      <w:rFonts w:ascii="Graphik Semibold" w:hAnsi="Graphik Semibold" w:cs="Arial Unicode MS"/>
      <w:caps/>
      <w:color w:val="3C8BC1"/>
      <w:spacing w:val="-12"/>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rPr>
      <w:rFonts w:ascii="Graphik Semibold" w:hAnsi="Graphik Semibold" w:cs="Arial Unicode MS"/>
      <w:caps/>
      <w:color w:val="000000"/>
      <w:sz w:val="18"/>
      <w:szCs w:val="18"/>
      <w14:textOutline w14:w="0" w14:cap="flat" w14:cmpd="sng" w14:algn="ctr">
        <w14:noFill/>
        <w14:prstDash w14:val="solid"/>
        <w14:bevel/>
      </w14:textOutline>
    </w:rPr>
  </w:style>
  <w:style w:type="paragraph" w:customStyle="1" w:styleId="Attribution">
    <w:name w:val="Attribution"/>
    <w:pPr>
      <w:tabs>
        <w:tab w:val="right" w:pos="9020"/>
      </w:tabs>
    </w:pPr>
    <w:rPr>
      <w:rFonts w:ascii="Graphik Semibold" w:eastAsia="Graphik Semibold" w:hAnsi="Graphik Semibold" w:cs="Graphik Semibold"/>
      <w:color w:val="000000"/>
      <w:spacing w:val="-13"/>
      <w:sz w:val="46"/>
      <w:szCs w:val="46"/>
      <w14:textOutline w14:w="0" w14:cap="flat" w14:cmpd="sng" w14:algn="ctr">
        <w14:noFill/>
        <w14:prstDash w14:val="solid"/>
        <w14:bevel/>
      </w14:textOutline>
    </w:rPr>
  </w:style>
  <w:style w:type="paragraph" w:styleId="Title">
    <w:name w:val="Title"/>
    <w:uiPriority w:val="10"/>
    <w:qFormat/>
    <w:pPr>
      <w:keepLines/>
      <w:spacing w:line="216" w:lineRule="auto"/>
      <w:outlineLvl w:val="0"/>
    </w:pPr>
    <w:rPr>
      <w:rFonts w:ascii="Graphik" w:hAnsi="Graphik" w:cs="Arial Unicode MS"/>
      <w:b/>
      <w:bCs/>
      <w:caps/>
      <w:color w:val="56C1FE"/>
      <w:spacing w:val="-63"/>
      <w:sz w:val="160"/>
      <w:szCs w:val="160"/>
      <w14:textOutline w14:w="0" w14:cap="flat" w14:cmpd="sng" w14:algn="ctr">
        <w14:noFill/>
        <w14:prstDash w14:val="solid"/>
        <w14:bevel/>
      </w14:textOutline>
      <w14:textFill>
        <w14:gradFill>
          <w14:gsLst>
            <w14:gs w14:pos="0">
              <w14:srgbClr w14:val="57C1FF"/>
            </w14:gs>
            <w14:gs w14:pos="100000">
              <w14:srgbClr w14:val="001238"/>
            </w14:gs>
          </w14:gsLst>
          <w14:lin w14:ang="5400000" w14:scaled="0"/>
        </w14:gradFill>
      </w14:textFill>
    </w:rPr>
  </w:style>
  <w:style w:type="paragraph" w:styleId="Subtitle">
    <w:name w:val="Subtitle"/>
    <w:uiPriority w:val="11"/>
    <w:qFormat/>
    <w:pPr>
      <w:keepLines/>
      <w:spacing w:line="216" w:lineRule="auto"/>
      <w:outlineLvl w:val="0"/>
    </w:pPr>
    <w:rPr>
      <w:rFonts w:ascii="Graphik" w:hAnsi="Graphik" w:cs="Arial Unicode MS"/>
      <w:b/>
      <w:bCs/>
      <w:caps/>
      <w:color w:val="276091"/>
      <w:spacing w:val="-11"/>
      <w:sz w:val="40"/>
      <w:szCs w:val="40"/>
      <w14:textOutline w14:w="0" w14:cap="flat" w14:cmpd="sng" w14:algn="ctr">
        <w14:noFill/>
        <w14:prstDash w14:val="solid"/>
        <w14:bevel/>
      </w14:textOutline>
    </w:rPr>
  </w:style>
  <w:style w:type="paragraph" w:customStyle="1" w:styleId="Default">
    <w:name w:val="Default"/>
    <w:rPr>
      <w:rFonts w:ascii="Graphik" w:hAnsi="Graphik" w:cs="Arial Unicode MS"/>
      <w:color w:val="000000"/>
      <w:lang w:val="en-US"/>
      <w14:textOutline w14:w="0" w14:cap="flat" w14:cmpd="sng" w14:algn="ctr">
        <w14:noFill/>
        <w14:prstDash w14:val="solid"/>
        <w14:bevel/>
      </w14:textOutline>
    </w:rPr>
  </w:style>
  <w:style w:type="numbering" w:customStyle="1" w:styleId="Numbered">
    <w:name w:val="Numbered"/>
    <w:pPr>
      <w:numPr>
        <w:numId w:val="1"/>
      </w:numPr>
    </w:pPr>
  </w:style>
  <w:style w:type="character" w:customStyle="1" w:styleId="None">
    <w:name w:val="None"/>
  </w:style>
  <w:style w:type="character" w:customStyle="1" w:styleId="Hyperlink0">
    <w:name w:val="Hyperlink.0"/>
    <w:basedOn w:val="None"/>
    <w:rPr>
      <w:outline w:val="0"/>
      <w:color w:val="000000"/>
      <w:u w:val="single" w:color="000000"/>
    </w:rPr>
  </w:style>
  <w:style w:type="character" w:customStyle="1" w:styleId="Hyperlink1">
    <w:name w:val="Hyperlink.1"/>
    <w:basedOn w:val="Hyperlink"/>
    <w:rPr>
      <w:u w:val="single"/>
    </w:rPr>
  </w:style>
  <w:style w:type="paragraph" w:styleId="Header">
    <w:name w:val="header"/>
    <w:basedOn w:val="Normal"/>
    <w:link w:val="HeaderChar"/>
    <w:uiPriority w:val="99"/>
    <w:unhideWhenUsed/>
    <w:rsid w:val="002A7A5B"/>
    <w:pPr>
      <w:tabs>
        <w:tab w:val="center" w:pos="4153"/>
        <w:tab w:val="right" w:pos="8306"/>
      </w:tabs>
    </w:pPr>
  </w:style>
  <w:style w:type="character" w:customStyle="1" w:styleId="HeaderChar">
    <w:name w:val="Header Char"/>
    <w:basedOn w:val="DefaultParagraphFont"/>
    <w:link w:val="Header"/>
    <w:uiPriority w:val="99"/>
    <w:rsid w:val="002A7A5B"/>
    <w:rPr>
      <w:sz w:val="24"/>
      <w:szCs w:val="24"/>
      <w:lang w:val="en-US" w:eastAsia="en-US"/>
    </w:rPr>
  </w:style>
  <w:style w:type="paragraph" w:styleId="Footer">
    <w:name w:val="footer"/>
    <w:basedOn w:val="Normal"/>
    <w:link w:val="FooterChar"/>
    <w:uiPriority w:val="99"/>
    <w:unhideWhenUsed/>
    <w:rsid w:val="002A7A5B"/>
    <w:pPr>
      <w:tabs>
        <w:tab w:val="center" w:pos="4153"/>
        <w:tab w:val="right" w:pos="8306"/>
      </w:tabs>
    </w:pPr>
  </w:style>
  <w:style w:type="character" w:customStyle="1" w:styleId="FooterChar">
    <w:name w:val="Footer Char"/>
    <w:basedOn w:val="DefaultParagraphFont"/>
    <w:link w:val="Footer"/>
    <w:uiPriority w:val="99"/>
    <w:rsid w:val="002A7A5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uptodate-com.db.rsu.lv/contents/treatment-of-rabies?search=rabies&amp;source=search_result&amp;selectedTitle=5~86&amp;usage_type=default&amp;display_rank=4" TargetMode="External"/><Relationship Id="rId21" Type="http://schemas.openxmlformats.org/officeDocument/2006/relationships/image" Target="media/image13.png"/><Relationship Id="rId34" Type="http://schemas.openxmlformats.org/officeDocument/2006/relationships/hyperlink" Target="https://www-uptodate-com.db.rsu.lv/contents/clinical-manifestations-and-diagnosis-of-rabies?search=rabies&amp;source=search_result&amp;selectedTitle=3~86&amp;usage_type=default&amp;display_rank=2" TargetMode="External"/><Relationship Id="rId42" Type="http://schemas.openxmlformats.org/officeDocument/2006/relationships/hyperlink" Target="https://apps.who.int/iris/bitstream/handle/10665/272364/9789241210218-eng.pdf?sequence=1&amp;isAllowed=y" TargetMode="External"/><Relationship Id="rId47" Type="http://schemas.openxmlformats.org/officeDocument/2006/relationships/image" Target="media/image22.png"/><Relationship Id="rId50"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likumi.lv/doc.php?id=20667"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likumi.lv/doc.php?id=144279" TargetMode="External"/><Relationship Id="rId37" Type="http://schemas.openxmlformats.org/officeDocument/2006/relationships/hyperlink" Target="https://www.cdc.gov/mmwr/PDF/wk/mm5913.pdf" TargetMode="External"/><Relationship Id="rId40" Type="http://schemas.openxmlformats.org/officeDocument/2006/relationships/hyperlink" Target="https://immunisationhandbook.health.gov.au/contents/vaccine-preventable-diseases/rabies-and-other-lyssaviruses" TargetMode="External"/><Relationship Id="rId45" Type="http://schemas.openxmlformats.org/officeDocument/2006/relationships/hyperlink" Target="https://www.cdc.gov/mmwr/volumes/71/wr/pdfs/mm7118-h.pdf"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www-uptodate-com.db.rsu.lv/contents/rabies-immune-globulin-and-vaccine?search=rabies&amp;source=search_result&amp;selectedTitle=2~86&amp;usage_type=default&amp;display_rank=1" TargetMode="External"/><Relationship Id="rId49"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likumi.lv/doc.php?id=132359" TargetMode="External"/><Relationship Id="rId44" Type="http://schemas.openxmlformats.org/officeDocument/2006/relationships/hyperlink" Target="https://apps.who.int/iris/handle/10665/272371"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s://likumi.lv/doc.php?id=205795" TargetMode="External"/><Relationship Id="rId35" Type="http://schemas.openxmlformats.org/officeDocument/2006/relationships/hyperlink" Target="https://www-uptodate-com.db.rsu.lv/contents/indications-for-post-exposure-and-pre-exposure-rabies-prophylaxis?search=rabies&amp;source=search_result&amp;selectedTitle=4~86&amp;usage_type=default&amp;display_rank=3" TargetMode="External"/><Relationship Id="rId43" Type="http://schemas.openxmlformats.org/officeDocument/2006/relationships/hyperlink" Target="https://apps.who.int/iris/bitstream/handle/10665/310836/9789241515153-eng.pdf?sequence=1&amp;isAllowed=y" TargetMode="External"/><Relationship Id="rId48"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ati.zva.gov.lv/zalu-registrs/info/95-0284?r=L3p2YWlzL3phbHUtcmVnaXN0cnMvP2lzcz0xJmFtcDtxPUowN0JH" TargetMode="External"/><Relationship Id="rId38" Type="http://schemas.openxmlformats.org/officeDocument/2006/relationships/hyperlink" Target="https://www.cdc.gov/rabies/index.html" TargetMode="External"/><Relationship Id="rId46" Type="http://schemas.openxmlformats.org/officeDocument/2006/relationships/image" Target="media/image21.png"/><Relationship Id="rId20" Type="http://schemas.openxmlformats.org/officeDocument/2006/relationships/image" Target="media/image12.png"/><Relationship Id="rId41" Type="http://schemas.openxmlformats.org/officeDocument/2006/relationships/hyperlink" Target="https://www.cdc.gov/mmwr/preview/mmwrhtml/rr5902a1.ht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27_Professional_Report_ISO">
  <a:themeElements>
    <a:clrScheme name="27_Professional_Report_ISO">
      <a:dk1>
        <a:srgbClr val="000000"/>
      </a:dk1>
      <a:lt1>
        <a:srgbClr val="FFFFFF"/>
      </a:lt1>
      <a:dk2>
        <a:srgbClr val="5E5E5E"/>
      </a:dk2>
      <a:lt2>
        <a:srgbClr val="D5D5D5"/>
      </a:lt2>
      <a:accent1>
        <a:srgbClr val="599DFF"/>
      </a:accent1>
      <a:accent2>
        <a:srgbClr val="00D4D2"/>
      </a:accent2>
      <a:accent3>
        <a:srgbClr val="38E53A"/>
      </a:accent3>
      <a:accent4>
        <a:srgbClr val="FFFA00"/>
      </a:accent4>
      <a:accent5>
        <a:srgbClr val="FF7D74"/>
      </a:accent5>
      <a:accent6>
        <a:srgbClr val="FF80E9"/>
      </a:accent6>
      <a:hlink>
        <a:srgbClr val="0000FF"/>
      </a:hlink>
      <a:folHlink>
        <a:srgbClr val="FF00FF"/>
      </a:folHlink>
    </a:clrScheme>
    <a:fontScheme name="27_Professional_Report_ISO">
      <a:majorFont>
        <a:latin typeface="Graphik"/>
        <a:ea typeface="Graphik"/>
        <a:cs typeface="Graphik"/>
      </a:majorFont>
      <a:minorFont>
        <a:latin typeface="Graphik"/>
        <a:ea typeface="Graphik"/>
        <a:cs typeface="Graphik"/>
      </a:minorFont>
    </a:fontScheme>
    <a:fmtScheme name="27_Professional_Report_IS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400" b="0" i="0" u="none" strike="noStrike" cap="none" spc="-28" normalizeH="0" baseline="0">
            <a:ln>
              <a:noFill/>
            </a:ln>
            <a:solidFill>
              <a:srgbClr val="FFFFFF"/>
            </a:solidFill>
            <a:effectLst/>
            <a:uFillTx/>
            <a:latin typeface="Graphik Semibold"/>
            <a:ea typeface="Graphik Semibold"/>
            <a:cs typeface="Graphik Semibold"/>
            <a:sym typeface="Graphik Semi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889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355600" rtl="0" fontAlgn="auto" latinLnBrk="0" hangingPunct="0">
          <a:lnSpc>
            <a:spcPct val="110000"/>
          </a:lnSpc>
          <a:spcBef>
            <a:spcPts val="180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Graphik"/>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37</Pages>
  <Words>12622</Words>
  <Characters>71946</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Trakumsērga cilvēkiem. diagnostikas un profilakses standarts</vt:lpstr>
    </vt:vector>
  </TitlesOfParts>
  <Company/>
  <LinksUpToDate>false</LinksUpToDate>
  <CharactersWithSpaces>84400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Trakumsērga cilvēkiem. diagnostikas un profilakses standarts</dc:title>
  <dc:creator>Dace Zavadska</dc:creator>
  <cp:lastModifiedBy>Edīte Tettere</cp:lastModifiedBy>
  <cp:revision>7</cp:revision>
  <dcterms:created xsi:type="dcterms:W3CDTF">2024-04-04T15:32:00Z</dcterms:created>
  <dcterms:modified xsi:type="dcterms:W3CDTF">2024-04-06T05:51:00Z</dcterms:modified>
</cp:coreProperties>
</file>