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3833F" w14:textId="77777777" w:rsidR="00A24A6B" w:rsidRPr="00D5053F" w:rsidRDefault="00000000" w:rsidP="003E7BBE">
      <w:pPr>
        <w:spacing w:before="360"/>
        <w:jc w:val="center"/>
        <w:rPr>
          <w:sz w:val="17"/>
          <w:szCs w:val="17"/>
        </w:rPr>
      </w:pPr>
      <w:bookmarkStart w:id="0" w:name="_Hlk128142907"/>
      <w:r>
        <w:rPr>
          <w:noProof/>
          <w:lang w:eastAsia="lv-LV"/>
        </w:rPr>
        <w:drawing>
          <wp:anchor distT="0" distB="0" distL="114300" distR="114300" simplePos="0" relativeHeight="251660288" behindDoc="1" locked="0" layoutInCell="1" allowOverlap="1" wp14:anchorId="18557B3C" wp14:editId="2265740E">
            <wp:simplePos x="0" y="0"/>
            <wp:positionH relativeFrom="page">
              <wp:posOffset>1191260</wp:posOffset>
            </wp:positionH>
            <wp:positionV relativeFrom="page">
              <wp:posOffset>737870</wp:posOffset>
            </wp:positionV>
            <wp:extent cx="5668645" cy="1032510"/>
            <wp:effectExtent l="0" t="0" r="0" b="0"/>
            <wp:wrapSquare wrapText="bothSides"/>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668645" cy="1032510"/>
                    </a:xfrm>
                    <a:prstGeom prst="rect">
                      <a:avLst/>
                    </a:prstGeom>
                    <a:noFill/>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g">
            <w:drawing>
              <wp:anchor distT="0" distB="0" distL="114300" distR="114300" simplePos="0" relativeHeight="251658240" behindDoc="1" locked="0" layoutInCell="1" allowOverlap="1" wp14:anchorId="29220CF6" wp14:editId="1A5804F9">
                <wp:simplePos x="0" y="0"/>
                <wp:positionH relativeFrom="page">
                  <wp:posOffset>1850390</wp:posOffset>
                </wp:positionH>
                <wp:positionV relativeFrom="page">
                  <wp:posOffset>1911350</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1025" style="width:346.25pt;height:0.1pt;margin-top:150.5pt;margin-left:145.7pt;mso-position-horizontal-relative:page;mso-position-vertical-relative:page;position:absolute;z-index:-251657216" coordorigin="2915,2998" coordsize="6926,2">
                <v:shape id="Freeform 42" o:spid="_x0000_s1026"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r w:rsidRPr="00D5053F">
        <w:rPr>
          <w:color w:val="231F20"/>
          <w:sz w:val="17"/>
          <w:szCs w:val="17"/>
        </w:rPr>
        <w:t xml:space="preserve">Duntes iela 22, </w:t>
      </w:r>
      <w:r w:rsidR="0055269A">
        <w:rPr>
          <w:color w:val="231F20"/>
          <w:sz w:val="17"/>
          <w:szCs w:val="17"/>
        </w:rPr>
        <w:t xml:space="preserve">K-5, </w:t>
      </w:r>
      <w:r w:rsidRPr="00D5053F">
        <w:rPr>
          <w:color w:val="231F20"/>
          <w:sz w:val="17"/>
          <w:szCs w:val="17"/>
        </w:rPr>
        <w:t xml:space="preserve">Rīga, LV-1005, tālr. 67501590, fakss 67501591, e-pasts </w:t>
      </w:r>
      <w:r w:rsidR="0055269A">
        <w:rPr>
          <w:color w:val="231F20"/>
          <w:sz w:val="17"/>
          <w:szCs w:val="17"/>
        </w:rPr>
        <w:t>pasts</w:t>
      </w:r>
      <w:r w:rsidRPr="00D5053F">
        <w:rPr>
          <w:color w:val="231F20"/>
          <w:sz w:val="17"/>
          <w:szCs w:val="17"/>
        </w:rPr>
        <w:t>@spkc.gov.lv</w:t>
      </w:r>
    </w:p>
    <w:p w14:paraId="106F0612" w14:textId="77777777" w:rsidR="00E46A48" w:rsidRDefault="00000000" w:rsidP="00E46A48">
      <w:pPr>
        <w:pStyle w:val="Header"/>
        <w:tabs>
          <w:tab w:val="clear" w:pos="4320"/>
        </w:tabs>
        <w:spacing w:before="480" w:after="480"/>
        <w:jc w:val="center"/>
        <w:rPr>
          <w:rFonts w:ascii="Times New Roman" w:hAnsi="Times New Roman"/>
          <w:noProof/>
        </w:rPr>
      </w:pPr>
      <w:r w:rsidRPr="001F3DE1">
        <w:rPr>
          <w:rFonts w:ascii="Times New Roman" w:hAnsi="Times New Roman"/>
          <w:noProof/>
        </w:rPr>
        <w:t>Rīgā</w:t>
      </w:r>
      <w:r>
        <w:rPr>
          <w:rFonts w:ascii="Times New Roman" w:hAnsi="Times New Roman"/>
          <w:noProof/>
        </w:rPr>
        <w:t xml:space="preserve"> </w:t>
      </w:r>
    </w:p>
    <w:tbl>
      <w:tblPr>
        <w:tblW w:w="0" w:type="auto"/>
        <w:tblLook w:val="04A0" w:firstRow="1" w:lastRow="0" w:firstColumn="1" w:lastColumn="0" w:noHBand="0" w:noVBand="1"/>
      </w:tblPr>
      <w:tblGrid>
        <w:gridCol w:w="5425"/>
        <w:gridCol w:w="3646"/>
      </w:tblGrid>
      <w:tr w:rsidR="00B54E90" w14:paraId="62315F12" w14:textId="77777777" w:rsidTr="00C5711F">
        <w:trPr>
          <w:trHeight w:val="313"/>
        </w:trPr>
        <w:tc>
          <w:tcPr>
            <w:tcW w:w="5495" w:type="dxa"/>
            <w:shd w:val="clear" w:color="auto" w:fill="auto"/>
          </w:tcPr>
          <w:p w14:paraId="0E488F86" w14:textId="77777777" w:rsidR="00222B8B" w:rsidRDefault="00000000" w:rsidP="00222B8B">
            <w:pPr>
              <w:tabs>
                <w:tab w:val="left" w:pos="0"/>
                <w:tab w:val="left" w:pos="7371"/>
              </w:tabs>
              <w:rPr>
                <w:sz w:val="24"/>
                <w:szCs w:val="24"/>
              </w:rPr>
            </w:pPr>
            <w:r>
              <w:rPr>
                <w:noProof/>
              </w:rPr>
              <w:t>Datums skatāms laika zīmogā</w:t>
            </w:r>
            <w:r>
              <w:rPr>
                <w:sz w:val="24"/>
                <w:szCs w:val="24"/>
              </w:rPr>
              <w:t xml:space="preserve">. </w:t>
            </w:r>
            <w:r w:rsidRPr="00CB2202">
              <w:rPr>
                <w:sz w:val="24"/>
                <w:szCs w:val="24"/>
              </w:rPr>
              <w:t>Nr.</w:t>
            </w:r>
            <w:r>
              <w:rPr>
                <w:sz w:val="24"/>
                <w:szCs w:val="24"/>
              </w:rPr>
              <w:t xml:space="preserve"> </w:t>
            </w:r>
            <w:r>
              <w:rPr>
                <w:noProof/>
                <w:sz w:val="24"/>
                <w:szCs w:val="24"/>
              </w:rPr>
              <w:t>1-8.1.2/2023/382</w:t>
            </w:r>
          </w:p>
          <w:p w14:paraId="10B6B6E3" w14:textId="77777777" w:rsidR="002079F2" w:rsidRPr="00CB2202" w:rsidRDefault="002079F2" w:rsidP="00222B8B">
            <w:pPr>
              <w:tabs>
                <w:tab w:val="left" w:pos="0"/>
                <w:tab w:val="left" w:pos="7371"/>
              </w:tabs>
              <w:rPr>
                <w:sz w:val="24"/>
                <w:szCs w:val="24"/>
              </w:rPr>
            </w:pPr>
          </w:p>
        </w:tc>
        <w:tc>
          <w:tcPr>
            <w:tcW w:w="3685" w:type="dxa"/>
            <w:shd w:val="clear" w:color="auto" w:fill="auto"/>
          </w:tcPr>
          <w:p w14:paraId="4C92E693" w14:textId="77777777" w:rsidR="00AB0D97" w:rsidRDefault="00000000" w:rsidP="00222B8B">
            <w:pPr>
              <w:tabs>
                <w:tab w:val="left" w:pos="0"/>
                <w:tab w:val="left" w:pos="7371"/>
              </w:tabs>
              <w:rPr>
                <w:noProof/>
                <w:sz w:val="24"/>
                <w:szCs w:val="24"/>
              </w:rPr>
            </w:pPr>
            <w:bookmarkStart w:id="1" w:name="_Hlk128142955"/>
            <w:r>
              <w:rPr>
                <w:noProof/>
                <w:sz w:val="24"/>
                <w:szCs w:val="24"/>
              </w:rPr>
              <w:t>Pēc pievienotā saraksta</w:t>
            </w:r>
          </w:p>
          <w:p w14:paraId="3AA47383" w14:textId="77777777" w:rsidR="00545541" w:rsidRDefault="00000000" w:rsidP="00545541">
            <w:pPr>
              <w:tabs>
                <w:tab w:val="left" w:pos="0"/>
                <w:tab w:val="left" w:pos="7371"/>
              </w:tabs>
              <w:rPr>
                <w:noProof/>
                <w:sz w:val="24"/>
                <w:szCs w:val="24"/>
              </w:rPr>
            </w:pPr>
            <w:r>
              <w:rPr>
                <w:noProof/>
                <w:sz w:val="24"/>
                <w:szCs w:val="24"/>
              </w:rPr>
              <w:t>Neatliekamās medicīniskās palīdzības dienests</w:t>
            </w:r>
          </w:p>
          <w:p w14:paraId="51F047D3" w14:textId="77777777" w:rsidR="00AB0D97" w:rsidRDefault="00AB0D97" w:rsidP="00222B8B">
            <w:pPr>
              <w:tabs>
                <w:tab w:val="left" w:pos="0"/>
                <w:tab w:val="left" w:pos="7371"/>
              </w:tabs>
              <w:rPr>
                <w:noProof/>
                <w:sz w:val="24"/>
                <w:szCs w:val="24"/>
              </w:rPr>
            </w:pPr>
          </w:p>
          <w:p w14:paraId="0A003E53" w14:textId="77777777" w:rsidR="00AB0D97" w:rsidRDefault="00000000" w:rsidP="00AB0D97">
            <w:pPr>
              <w:tabs>
                <w:tab w:val="left" w:pos="0"/>
                <w:tab w:val="left" w:pos="7371"/>
              </w:tabs>
              <w:rPr>
                <w:noProof/>
                <w:sz w:val="24"/>
                <w:szCs w:val="24"/>
              </w:rPr>
            </w:pPr>
            <w:r>
              <w:rPr>
                <w:noProof/>
                <w:sz w:val="24"/>
                <w:szCs w:val="24"/>
              </w:rPr>
              <w:t xml:space="preserve">Zināšanai: </w:t>
            </w:r>
            <w:r w:rsidR="008B72AA">
              <w:rPr>
                <w:noProof/>
                <w:sz w:val="24"/>
                <w:szCs w:val="24"/>
              </w:rPr>
              <w:t>Latvijas Republikas Veselības ministrija</w:t>
            </w:r>
            <w:r>
              <w:rPr>
                <w:noProof/>
                <w:sz w:val="24"/>
                <w:szCs w:val="24"/>
              </w:rPr>
              <w:t>i</w:t>
            </w:r>
          </w:p>
          <w:p w14:paraId="4663B35E" w14:textId="77777777" w:rsidR="00222B8B" w:rsidRDefault="00000000" w:rsidP="00AB0D97">
            <w:pPr>
              <w:tabs>
                <w:tab w:val="left" w:pos="0"/>
                <w:tab w:val="left" w:pos="7371"/>
              </w:tabs>
              <w:rPr>
                <w:noProof/>
                <w:sz w:val="24"/>
                <w:szCs w:val="24"/>
              </w:rPr>
            </w:pPr>
            <w:r>
              <w:rPr>
                <w:noProof/>
                <w:sz w:val="24"/>
                <w:szCs w:val="24"/>
              </w:rPr>
              <w:t>Nacionāl</w:t>
            </w:r>
            <w:r w:rsidR="00AB0D97">
              <w:rPr>
                <w:noProof/>
                <w:sz w:val="24"/>
                <w:szCs w:val="24"/>
              </w:rPr>
              <w:t>ajam</w:t>
            </w:r>
            <w:r>
              <w:rPr>
                <w:noProof/>
                <w:sz w:val="24"/>
                <w:szCs w:val="24"/>
              </w:rPr>
              <w:t xml:space="preserve"> veselības dienest</w:t>
            </w:r>
            <w:r w:rsidR="00AB0D97">
              <w:rPr>
                <w:noProof/>
                <w:sz w:val="24"/>
                <w:szCs w:val="24"/>
              </w:rPr>
              <w:t>am</w:t>
            </w:r>
          </w:p>
          <w:bookmarkEnd w:id="1"/>
          <w:p w14:paraId="79E50658" w14:textId="77777777" w:rsidR="002079F2" w:rsidRDefault="002079F2" w:rsidP="00222B8B">
            <w:pPr>
              <w:tabs>
                <w:tab w:val="left" w:pos="0"/>
                <w:tab w:val="left" w:pos="7371"/>
              </w:tabs>
              <w:rPr>
                <w:sz w:val="24"/>
                <w:szCs w:val="24"/>
              </w:rPr>
            </w:pPr>
          </w:p>
        </w:tc>
      </w:tr>
    </w:tbl>
    <w:p w14:paraId="1B190E2F" w14:textId="77777777" w:rsidR="002079F2" w:rsidRPr="00195A3A" w:rsidRDefault="00000000" w:rsidP="002079F2">
      <w:pPr>
        <w:pStyle w:val="Header"/>
        <w:tabs>
          <w:tab w:val="clear" w:pos="4320"/>
          <w:tab w:val="clear" w:pos="8640"/>
        </w:tabs>
        <w:spacing w:before="480" w:after="480"/>
        <w:ind w:right="4535"/>
        <w:jc w:val="both"/>
        <w:rPr>
          <w:rFonts w:ascii="Times New Roman" w:hAnsi="Times New Roman"/>
          <w:b/>
          <w:i/>
          <w:noProof/>
        </w:rPr>
      </w:pPr>
      <w:r>
        <w:rPr>
          <w:rFonts w:ascii="Times New Roman" w:hAnsi="Times New Roman"/>
          <w:b/>
          <w:i/>
          <w:noProof/>
        </w:rPr>
        <w:t>Par</w:t>
      </w:r>
      <w:r w:rsidR="00DC4BFE" w:rsidRPr="00DC4BFE">
        <w:rPr>
          <w:rFonts w:ascii="Times New Roman" w:hAnsi="Times New Roman"/>
          <w:b/>
          <w:i/>
          <w:noProof/>
        </w:rPr>
        <w:t xml:space="preserve"> masalu izplatīšanās risku mazināšanas pasākumiem</w:t>
      </w:r>
    </w:p>
    <w:p w14:paraId="2B41CFFB" w14:textId="77777777" w:rsidR="00DC4BFE" w:rsidRPr="007803D3" w:rsidRDefault="00000000" w:rsidP="00DC4BFE">
      <w:pPr>
        <w:pStyle w:val="NormalWeb"/>
        <w:spacing w:before="0" w:beforeAutospacing="0" w:after="0" w:afterAutospacing="0" w:line="276" w:lineRule="auto"/>
        <w:ind w:firstLine="720"/>
        <w:contextualSpacing/>
        <w:jc w:val="both"/>
        <w:rPr>
          <w:rFonts w:asciiTheme="majorBidi" w:eastAsia="Noto Sans" w:hAnsiTheme="majorBidi" w:cstheme="majorBidi"/>
        </w:rPr>
      </w:pPr>
      <w:r w:rsidRPr="002C418E">
        <w:t>Slimību profilakses un kontroles centrs (turpmāk – SPKC) informē, ka saskaņā ar Pasaules Veselības organizācija (turpmāk – PVO) datiem Eiropas reģionā masalu gadījumu skaits</w:t>
      </w:r>
      <w:r w:rsidRPr="002C418E">
        <w:rPr>
          <w:rFonts w:eastAsia="Noto Sans"/>
        </w:rPr>
        <w:t xml:space="preserve"> </w:t>
      </w:r>
      <w:r w:rsidRPr="007803D3">
        <w:rPr>
          <w:rFonts w:asciiTheme="majorBidi" w:eastAsia="Noto Sans" w:hAnsiTheme="majorBidi" w:cstheme="majorBidi"/>
        </w:rPr>
        <w:t>ir palielinājies kopš 2022. gada sākuma. Covid-19 pandēmija ir atstājusi sekas – pieaudzis bērnu skaits, kuri ir uzņēmīgi pret šo potenciāli letālo slimību</w:t>
      </w:r>
      <w:r w:rsidRPr="007803D3">
        <w:rPr>
          <w:rFonts w:asciiTheme="majorBidi" w:eastAsia="Noto Sans" w:hAnsiTheme="majorBidi" w:cstheme="majorBidi"/>
          <w:vertAlign w:val="superscript"/>
        </w:rPr>
        <w:t>1</w:t>
      </w:r>
      <w:r w:rsidRPr="007803D3">
        <w:rPr>
          <w:rFonts w:asciiTheme="majorBidi" w:eastAsia="Noto Sans" w:hAnsiTheme="majorBidi" w:cstheme="majorBidi"/>
        </w:rPr>
        <w:t xml:space="preserve">. </w:t>
      </w:r>
    </w:p>
    <w:p w14:paraId="16D49EC9" w14:textId="77777777" w:rsidR="00DC4BFE" w:rsidRPr="007803D3" w:rsidRDefault="00000000" w:rsidP="00DC4BFE">
      <w:pPr>
        <w:pStyle w:val="NormalWeb"/>
        <w:spacing w:before="0" w:beforeAutospacing="0" w:after="0" w:afterAutospacing="0" w:line="276" w:lineRule="auto"/>
        <w:ind w:firstLine="720"/>
        <w:contextualSpacing/>
        <w:jc w:val="both"/>
        <w:rPr>
          <w:rFonts w:asciiTheme="majorBidi" w:hAnsiTheme="majorBidi" w:cstheme="majorBidi"/>
        </w:rPr>
      </w:pPr>
      <w:r w:rsidRPr="007803D3">
        <w:rPr>
          <w:rFonts w:asciiTheme="majorBidi" w:hAnsiTheme="majorBidi" w:cstheme="majorBidi"/>
        </w:rPr>
        <w:t>Pēc lieliem masalu uzliesmojumiem 2018. un 2019. gadā ar gandrīz 200 000 reģistrētiem saslimšanas gadījumiem, ziņoto masalu gadījumu skaits Eiropas reģionā 2020. gadā samazinājās līdz nedaudz vairāk nekā 12 000. 2021. gadā tika ziņots tikai par 159 masalu gadījumiem 22 valstīs; tomēr 2022. gadā tas palielinājās, līdz šī gada 10. februārim ziņots par 904 masalu gadījumiem 27 valstīs</w:t>
      </w:r>
      <w:r w:rsidRPr="007803D3">
        <w:rPr>
          <w:rFonts w:asciiTheme="majorBidi" w:hAnsiTheme="majorBidi" w:cstheme="majorBidi"/>
          <w:vertAlign w:val="superscript"/>
        </w:rPr>
        <w:t>1</w:t>
      </w:r>
      <w:r w:rsidRPr="007803D3">
        <w:rPr>
          <w:rFonts w:asciiTheme="majorBidi" w:hAnsiTheme="majorBidi" w:cstheme="majorBidi"/>
        </w:rPr>
        <w:t xml:space="preserve">. </w:t>
      </w:r>
    </w:p>
    <w:p w14:paraId="75DC4D3F" w14:textId="77777777" w:rsidR="00DC4BFE" w:rsidRPr="007803D3" w:rsidRDefault="00000000" w:rsidP="00DC4BFE">
      <w:pPr>
        <w:shd w:val="clear" w:color="auto" w:fill="FFFFFF" w:themeFill="background1"/>
        <w:spacing w:line="276" w:lineRule="auto"/>
        <w:ind w:firstLine="720"/>
        <w:contextualSpacing/>
        <w:jc w:val="both"/>
        <w:rPr>
          <w:rFonts w:asciiTheme="majorBidi" w:hAnsiTheme="majorBidi" w:cstheme="majorBidi"/>
          <w:sz w:val="24"/>
          <w:szCs w:val="24"/>
          <w:shd w:val="clear" w:color="auto" w:fill="FFFFFF"/>
        </w:rPr>
      </w:pPr>
      <w:r w:rsidRPr="0C7B0FBE">
        <w:rPr>
          <w:rFonts w:asciiTheme="majorBidi" w:hAnsiTheme="majorBidi" w:cstheme="majorBidi"/>
          <w:sz w:val="24"/>
          <w:szCs w:val="24"/>
        </w:rPr>
        <w:t>Uzturot vismaz 95% vakcinācijas aptveri pret masalām ar 2 vakcīnas devām, tiek pārtraukta vīrusa pārnešana un novērsta lielu uzliesmojumu atkārtošanās</w:t>
      </w:r>
      <w:r>
        <w:rPr>
          <w:rStyle w:val="FootnoteReference"/>
          <w:rFonts w:asciiTheme="majorBidi" w:eastAsia="Noto Sans" w:hAnsiTheme="majorBidi" w:cstheme="majorBidi"/>
          <w:sz w:val="24"/>
          <w:szCs w:val="24"/>
        </w:rPr>
        <w:footnoteReference w:id="1"/>
      </w:r>
      <w:r w:rsidRPr="0C7B0FBE">
        <w:rPr>
          <w:rFonts w:asciiTheme="majorBidi" w:eastAsia="Noto Sans" w:hAnsiTheme="majorBidi" w:cstheme="majorBidi"/>
          <w:sz w:val="24"/>
          <w:szCs w:val="24"/>
        </w:rPr>
        <w:t xml:space="preserve">. </w:t>
      </w:r>
      <w:r w:rsidRPr="0C7B0FBE">
        <w:rPr>
          <w:rFonts w:asciiTheme="majorBidi" w:hAnsiTheme="majorBidi" w:cstheme="majorBidi"/>
          <w:sz w:val="24"/>
          <w:szCs w:val="24"/>
          <w:shd w:val="clear" w:color="auto" w:fill="FFFFFF"/>
        </w:rPr>
        <w:t>2022. gada SPKC apkopoties dati liecina, ka vakcinācijas aptvere pret masalām sasniedza izvirzīto mērķi bērniem 12-15 mēnešu vecumā (95,5%; 1. pote), taču bērniem 7 gadu vecumā vakcinācijas līmenis ir zem noteiktā mērķa (85,8%; 2. pote). 2021. gadā 1. potei aptvere bija augstāka (99,1%), bet zemāka aptvere 2. potei (88,1%). Pēdējo reizi</w:t>
      </w:r>
      <w:r w:rsidRPr="0C7B0FBE">
        <w:rPr>
          <w:rFonts w:asciiTheme="majorBidi" w:hAnsiTheme="majorBidi" w:cstheme="majorBidi"/>
          <w:sz w:val="24"/>
          <w:szCs w:val="24"/>
        </w:rPr>
        <w:t xml:space="preserve"> vakcinācijas aptvere virs 95,5% </w:t>
      </w:r>
      <w:r w:rsidRPr="0C7B0FBE">
        <w:rPr>
          <w:rFonts w:asciiTheme="majorBidi" w:hAnsiTheme="majorBidi" w:cstheme="majorBidi"/>
          <w:sz w:val="24"/>
          <w:szCs w:val="24"/>
          <w:shd w:val="clear" w:color="auto" w:fill="FFFFFF"/>
        </w:rPr>
        <w:t xml:space="preserve">ar abām potēm </w:t>
      </w:r>
      <w:r w:rsidRPr="0C7B0FBE">
        <w:rPr>
          <w:rFonts w:asciiTheme="majorBidi" w:hAnsiTheme="majorBidi" w:cstheme="majorBidi"/>
          <w:sz w:val="24"/>
          <w:szCs w:val="24"/>
        </w:rPr>
        <w:t xml:space="preserve">Latvijā </w:t>
      </w:r>
      <w:r w:rsidRPr="0C7B0FBE">
        <w:rPr>
          <w:rFonts w:asciiTheme="majorBidi" w:hAnsiTheme="majorBidi" w:cstheme="majorBidi"/>
          <w:sz w:val="24"/>
          <w:szCs w:val="24"/>
          <w:shd w:val="clear" w:color="auto" w:fill="FFFFFF"/>
        </w:rPr>
        <w:t xml:space="preserve">tika sasniegta </w:t>
      </w:r>
      <w:r w:rsidRPr="0C7B0FBE">
        <w:rPr>
          <w:rFonts w:asciiTheme="majorBidi" w:hAnsiTheme="majorBidi" w:cstheme="majorBidi"/>
          <w:sz w:val="24"/>
          <w:szCs w:val="24"/>
        </w:rPr>
        <w:t xml:space="preserve">2019. gadā. </w:t>
      </w:r>
      <w:r w:rsidR="00C654DD" w:rsidRPr="00C654DD">
        <w:rPr>
          <w:rFonts w:asciiTheme="majorBidi" w:hAnsiTheme="majorBidi" w:cstheme="majorBidi"/>
          <w:sz w:val="24"/>
          <w:szCs w:val="24"/>
        </w:rPr>
        <w:t>Kaut gan pēdējie trīs masalu gadījumi Latvijā tika reģistrēti 2019. gadā,</w:t>
      </w:r>
      <w:r w:rsidRPr="00C654DD">
        <w:rPr>
          <w:rFonts w:asciiTheme="majorBidi" w:hAnsiTheme="majorBidi" w:cstheme="majorBidi"/>
          <w:sz w:val="24"/>
          <w:szCs w:val="24"/>
        </w:rPr>
        <w:t xml:space="preserve"> epidemioloģisko sit</w:t>
      </w:r>
      <w:r w:rsidRPr="0C7B0FBE">
        <w:rPr>
          <w:rFonts w:asciiTheme="majorBidi" w:hAnsiTheme="majorBidi" w:cstheme="majorBidi"/>
          <w:sz w:val="24"/>
          <w:szCs w:val="24"/>
        </w:rPr>
        <w:t>uāciju nevar uzskatīt par labvēlīgu, jo nepietiekama vakcinācijas aptvere ir saistīta ar pakāpenisku nevakcinēto bērnu skaita pieaugumu, kas rada masalu uzliesmojuma izcelšanās risku.</w:t>
      </w:r>
    </w:p>
    <w:p w14:paraId="1F8C6DFD" w14:textId="77777777" w:rsidR="00DC4BFE" w:rsidRPr="007803D3" w:rsidRDefault="00000000" w:rsidP="00DC4BFE">
      <w:pPr>
        <w:pStyle w:val="NormalWeb"/>
        <w:shd w:val="clear" w:color="auto" w:fill="FFFFFF" w:themeFill="background1"/>
        <w:spacing w:before="0" w:beforeAutospacing="0" w:after="0" w:afterAutospacing="0" w:line="276" w:lineRule="auto"/>
        <w:ind w:firstLine="720"/>
        <w:contextualSpacing/>
        <w:jc w:val="both"/>
      </w:pPr>
      <w:r w:rsidRPr="007803D3">
        <w:t>Masalas tiek diagnosticētas, ņemot vērā raksturīgos klīniskos simptomus un laboratorijas testa rezultātus (skatīt masalu gadījum</w:t>
      </w:r>
      <w:r>
        <w:t>a</w:t>
      </w:r>
      <w:r w:rsidRPr="007803D3">
        <w:t xml:space="preserve"> definīciju</w:t>
      </w:r>
      <w:r>
        <w:t xml:space="preserve"> </w:t>
      </w:r>
      <w:r w:rsidRPr="007803D3">
        <w:t>pielikum</w:t>
      </w:r>
      <w:r>
        <w:t>ā</w:t>
      </w:r>
      <w:r w:rsidRPr="007803D3">
        <w:t>).</w:t>
      </w:r>
    </w:p>
    <w:p w14:paraId="69643F60" w14:textId="77777777" w:rsidR="00DC4BFE" w:rsidRPr="007803D3" w:rsidRDefault="00000000" w:rsidP="00DC4BFE">
      <w:pPr>
        <w:pStyle w:val="NormalWeb"/>
        <w:shd w:val="clear" w:color="auto" w:fill="FFFFFF" w:themeFill="background1"/>
        <w:spacing w:before="0" w:beforeAutospacing="0" w:after="0" w:afterAutospacing="0" w:line="276" w:lineRule="auto"/>
        <w:ind w:firstLine="720"/>
        <w:contextualSpacing/>
        <w:jc w:val="both"/>
      </w:pPr>
      <w:r>
        <w:lastRenderedPageBreak/>
        <w:t xml:space="preserve">Masalas ir grūti atšķiramas no citām infekcijām, kas norit ar drudzi un izsitumiem. Masaliņas, parvovīrusu B19, cilvēka 6. tipa herpes vīrusa un Denges drudža gadījumus var viegli sajaukt ar masalām, tādēļ būtisks ir laboratorisks apstiprinājums. Visi iespējamie (aizdomīgie) masalu gadījumi ir jāapstiprina laboratoriski. Masalu un masaliņu laboratoriskai diagnostikai izmanto vīrusa izolēšanu, nukleīnskābes noteikšanu, seroloģisko izmeklēšanu specifisko antivielu vai antigēna noteikšanai (skatīt ieteikumi masalu un masaliņu diagnostikai pielikumā). Masalu eliminācijas posmā PVO stingri rekomendē katru aizdomīgu masalu gadījumu apstiprināt ar vīrusa izolēšanu, jo šādi tiek nodrošināts vīrusa genotipu cirkulācijas monitorings un uzliesmojumu izplatīšanās izsekošana. </w:t>
      </w:r>
    </w:p>
    <w:p w14:paraId="45E0361E" w14:textId="77777777" w:rsidR="00DC4BFE" w:rsidRPr="007803D3" w:rsidRDefault="00000000" w:rsidP="00DC4BFE">
      <w:pPr>
        <w:pStyle w:val="NormalWeb"/>
        <w:shd w:val="clear" w:color="auto" w:fill="FFFFFF" w:themeFill="background1"/>
        <w:spacing w:before="0" w:beforeAutospacing="0" w:after="0" w:afterAutospacing="0" w:line="276" w:lineRule="auto"/>
        <w:ind w:firstLine="720"/>
        <w:contextualSpacing/>
        <w:jc w:val="both"/>
      </w:pPr>
      <w:r w:rsidRPr="007803D3">
        <w:t xml:space="preserve">Par visiem aizdomīgiem masalu gadījumiem jāziņo SPKC, negaidot laboratoriskās izmeklēšanas rezultātus. Savlaicīga gadījumu ziņošana dod iespēju ātrāk uzsākt un efektīvāk veikt epidemioloģisko izmeklēšanu, iespējama uzliesmojuma identificēšanu un epidemioloģisko kontroli. </w:t>
      </w:r>
    </w:p>
    <w:p w14:paraId="4588FA7C" w14:textId="77777777" w:rsidR="00DC4BFE" w:rsidRPr="0017531A" w:rsidRDefault="00000000" w:rsidP="00DC4BFE">
      <w:pPr>
        <w:pStyle w:val="NormalWeb"/>
        <w:shd w:val="clear" w:color="auto" w:fill="FFFFFF" w:themeFill="background1"/>
        <w:spacing w:before="0" w:beforeAutospacing="0" w:after="0" w:afterAutospacing="0" w:line="276" w:lineRule="auto"/>
        <w:ind w:firstLine="720"/>
        <w:contextualSpacing/>
        <w:jc w:val="both"/>
        <w:rPr>
          <w:rFonts w:asciiTheme="majorBidi" w:hAnsiTheme="majorBidi" w:cstheme="majorBidi"/>
        </w:rPr>
      </w:pPr>
      <w:r w:rsidRPr="007803D3">
        <w:t xml:space="preserve">Atbilstoši Ministru kabineta 1999. gada 5. janvāra noteikumiem Nr.7 „Infekcijas slimību reģistrācijas kārtība” ikviens gadījums, kuram pat uz </w:t>
      </w:r>
      <w:r w:rsidRPr="00AB0D97">
        <w:rPr>
          <w:rFonts w:asciiTheme="majorBidi" w:hAnsiTheme="majorBidi" w:cstheme="majorBidi"/>
        </w:rPr>
        <w:t>aizdomu pamata noteikta diagnoze „masalas” vai „</w:t>
      </w:r>
      <w:r w:rsidRPr="0017531A">
        <w:rPr>
          <w:rFonts w:asciiTheme="majorBidi" w:hAnsiTheme="majorBidi" w:cstheme="majorBidi"/>
        </w:rPr>
        <w:t xml:space="preserve">masaliņas”, pakļauts ziņošanai SPKC attiecīgās reģionālās nodaļas epidemiologam darbadienas laikā no konstatēšanas brīža telefoniski, kā arī rakstiski (steidzamā paziņojuma veidlapa pieejama elektroniski SPKC mājas lapā: </w:t>
      </w:r>
      <w:hyperlink r:id="rId8">
        <w:r w:rsidRPr="0017531A">
          <w:rPr>
            <w:rStyle w:val="Hyperlink"/>
            <w:rFonts w:asciiTheme="majorBidi" w:hAnsiTheme="majorBidi" w:cstheme="majorBidi"/>
            <w:color w:val="auto"/>
          </w:rPr>
          <w:t>https://www.spkc.gov.lv/lv/zinosanai-par-infekcijas-slimibu-gadijumiem</w:t>
        </w:r>
      </w:hyperlink>
      <w:r w:rsidRPr="0017531A">
        <w:rPr>
          <w:rFonts w:asciiTheme="majorBidi" w:hAnsiTheme="majorBidi" w:cstheme="majorBidi"/>
        </w:rPr>
        <w:t>).</w:t>
      </w:r>
    </w:p>
    <w:p w14:paraId="32FE3BDE" w14:textId="77777777" w:rsidR="00DC4BFE" w:rsidRPr="0017531A" w:rsidRDefault="00000000" w:rsidP="00DC4BFE">
      <w:pPr>
        <w:pStyle w:val="tv213"/>
        <w:shd w:val="clear" w:color="auto" w:fill="FFFFFF" w:themeFill="background1"/>
        <w:spacing w:before="0" w:beforeAutospacing="0" w:after="0" w:afterAutospacing="0" w:line="293" w:lineRule="atLeast"/>
        <w:ind w:firstLine="300"/>
        <w:jc w:val="both"/>
        <w:rPr>
          <w:rFonts w:asciiTheme="majorBidi" w:hAnsiTheme="majorBidi" w:cstheme="majorBidi"/>
        </w:rPr>
      </w:pPr>
      <w:r w:rsidRPr="2FAB14BE">
        <w:rPr>
          <w:rFonts w:asciiTheme="majorBidi" w:hAnsiTheme="majorBidi" w:cstheme="majorBidi"/>
        </w:rPr>
        <w:t xml:space="preserve">SPKC </w:t>
      </w:r>
      <w:r w:rsidRPr="3CF36CDB">
        <w:rPr>
          <w:rFonts w:asciiTheme="majorBidi" w:hAnsiTheme="majorBidi" w:cstheme="majorBidi"/>
        </w:rPr>
        <w:t>atgādina, ka</w:t>
      </w:r>
      <w:r w:rsidRPr="0E32D59B">
        <w:rPr>
          <w:rFonts w:asciiTheme="majorBidi" w:hAnsiTheme="majorBidi" w:cstheme="majorBidi"/>
        </w:rPr>
        <w:t xml:space="preserve"> saskaņā ar</w:t>
      </w:r>
      <w:r w:rsidRPr="3CF36CDB">
        <w:rPr>
          <w:rFonts w:asciiTheme="majorBidi" w:hAnsiTheme="majorBidi" w:cstheme="majorBidi"/>
        </w:rPr>
        <w:t xml:space="preserve"> </w:t>
      </w:r>
      <w:r w:rsidRPr="3184EBA2">
        <w:rPr>
          <w:rFonts w:asciiTheme="majorBidi" w:hAnsiTheme="majorBidi" w:cstheme="majorBidi"/>
        </w:rPr>
        <w:t>Ministru</w:t>
      </w:r>
      <w:r w:rsidRPr="3FE57F36">
        <w:rPr>
          <w:rFonts w:asciiTheme="majorBidi" w:hAnsiTheme="majorBidi" w:cstheme="majorBidi"/>
        </w:rPr>
        <w:t xml:space="preserve"> kabineta</w:t>
      </w:r>
      <w:r w:rsidRPr="00AF6CFB">
        <w:t xml:space="preserve"> </w:t>
      </w:r>
      <w:r>
        <w:t xml:space="preserve">noteikumu </w:t>
      </w:r>
      <w:r w:rsidRPr="00AF6CFB">
        <w:rPr>
          <w:rFonts w:asciiTheme="majorBidi" w:hAnsiTheme="majorBidi" w:cstheme="majorBidi"/>
        </w:rPr>
        <w:t>Nr.</w:t>
      </w:r>
      <w:r>
        <w:rPr>
          <w:rFonts w:asciiTheme="majorBidi" w:hAnsiTheme="majorBidi" w:cstheme="majorBidi"/>
        </w:rPr>
        <w:t xml:space="preserve"> </w:t>
      </w:r>
      <w:r w:rsidRPr="00AF6CFB">
        <w:rPr>
          <w:rFonts w:asciiTheme="majorBidi" w:hAnsiTheme="majorBidi" w:cstheme="majorBidi"/>
        </w:rPr>
        <w:t>752</w:t>
      </w:r>
      <w:r w:rsidRPr="1124E7F6">
        <w:rPr>
          <w:rFonts w:asciiTheme="majorBidi" w:hAnsiTheme="majorBidi" w:cstheme="majorBidi"/>
        </w:rPr>
        <w:t xml:space="preserve"> </w:t>
      </w:r>
      <w:r w:rsidRPr="4D72CE42">
        <w:rPr>
          <w:rFonts w:asciiTheme="majorBidi" w:hAnsiTheme="majorBidi" w:cstheme="majorBidi"/>
        </w:rPr>
        <w:t>9</w:t>
      </w:r>
      <w:r w:rsidRPr="70C4E449">
        <w:rPr>
          <w:rFonts w:asciiTheme="majorBidi" w:hAnsiTheme="majorBidi" w:cstheme="majorBidi"/>
        </w:rPr>
        <w:t>. punktu</w:t>
      </w:r>
      <w:r w:rsidRPr="764F40CC">
        <w:rPr>
          <w:rFonts w:asciiTheme="majorBidi" w:hAnsiTheme="majorBidi" w:cstheme="majorBidi"/>
        </w:rPr>
        <w:t xml:space="preserve"> </w:t>
      </w:r>
      <w:r w:rsidRPr="65566310">
        <w:rPr>
          <w:rFonts w:asciiTheme="majorBidi" w:hAnsiTheme="majorBidi" w:cstheme="majorBidi"/>
        </w:rPr>
        <w:t>ģimenes</w:t>
      </w:r>
      <w:r w:rsidRPr="0017531A">
        <w:rPr>
          <w:rFonts w:asciiTheme="majorBidi" w:hAnsiTheme="majorBidi" w:cstheme="majorBidi"/>
        </w:rPr>
        <w:t xml:space="preserve"> ārsts vai ārstniecības iestādes vadītājs, kad viņam kļuvusi zināma informācija par viņa aprūpē esoša pacienta vai ārstniecības iestādes darbinieka saslimšanu ar masalām vai masaliņām, pēc iespējas ātrāk organizē kontaktpersonu vakcinācijas datu izvērtēšanu un vakcināciju pret masalām </w:t>
      </w:r>
      <w:r w:rsidRPr="002C0A3A">
        <w:rPr>
          <w:rFonts w:asciiTheme="majorBidi" w:hAnsiTheme="majorBidi" w:cstheme="majorBidi"/>
        </w:rPr>
        <w:t xml:space="preserve">vai masaliņām </w:t>
      </w:r>
      <w:r w:rsidRPr="0017531A">
        <w:rPr>
          <w:rFonts w:asciiTheme="majorBidi" w:hAnsiTheme="majorBidi" w:cstheme="majorBidi"/>
        </w:rPr>
        <w:t>(var lietot kombinēto vakcīnu pret masalām, masaliņām un epidēmisko parotītu) šādām kontaktpersonām:</w:t>
      </w:r>
    </w:p>
    <w:p w14:paraId="5E4B7ECD" w14:textId="77777777" w:rsidR="00DC4BFE" w:rsidRPr="0017531A" w:rsidRDefault="00000000" w:rsidP="00DC4BFE">
      <w:pPr>
        <w:pStyle w:val="tv213"/>
        <w:numPr>
          <w:ilvl w:val="0"/>
          <w:numId w:val="4"/>
        </w:numPr>
        <w:shd w:val="clear" w:color="auto" w:fill="FFFFFF" w:themeFill="background1"/>
        <w:spacing w:before="0" w:beforeAutospacing="0" w:after="0" w:afterAutospacing="0" w:line="293" w:lineRule="atLeast"/>
        <w:jc w:val="both"/>
        <w:rPr>
          <w:rFonts w:asciiTheme="majorBidi" w:hAnsiTheme="majorBidi" w:cstheme="majorBidi"/>
        </w:rPr>
      </w:pPr>
      <w:r w:rsidRPr="0017531A">
        <w:rPr>
          <w:rFonts w:asciiTheme="majorBidi" w:hAnsiTheme="majorBidi" w:cstheme="majorBidi"/>
        </w:rPr>
        <w:t>masalas un masaliņas nepārslimojušiem un pret masalām un masaliņām nevakcinētiem vai daļēji vakcinētiem (saņēmušiem tikai vienu poti) pieaugušajiem un bērniem;</w:t>
      </w:r>
    </w:p>
    <w:p w14:paraId="114C5F6F" w14:textId="77777777" w:rsidR="00DC4BFE" w:rsidRPr="0017531A" w:rsidRDefault="00000000" w:rsidP="00DC4BFE">
      <w:pPr>
        <w:pStyle w:val="tv213"/>
        <w:numPr>
          <w:ilvl w:val="0"/>
          <w:numId w:val="4"/>
        </w:numPr>
        <w:shd w:val="clear" w:color="auto" w:fill="FFFFFF" w:themeFill="background1"/>
        <w:spacing w:before="0" w:beforeAutospacing="0" w:after="0" w:afterAutospacing="0" w:line="293" w:lineRule="atLeast"/>
        <w:jc w:val="both"/>
        <w:rPr>
          <w:rFonts w:asciiTheme="majorBidi" w:hAnsiTheme="majorBidi" w:cstheme="majorBidi"/>
        </w:rPr>
      </w:pPr>
      <w:r w:rsidRPr="7B74F23E">
        <w:rPr>
          <w:rFonts w:asciiTheme="majorBidi" w:hAnsiTheme="majorBidi" w:cstheme="majorBidi"/>
        </w:rPr>
        <w:t>personām</w:t>
      </w:r>
      <w:r w:rsidRPr="0017531A">
        <w:rPr>
          <w:rFonts w:asciiTheme="majorBidi" w:hAnsiTheme="majorBidi" w:cstheme="majorBidi"/>
        </w:rPr>
        <w:t>, kuru vakcinācija pret masalām vai masaliņām nav dokumentāri apliecināta</w:t>
      </w:r>
      <w:r>
        <w:rPr>
          <w:rStyle w:val="FootnoteReference"/>
          <w:rFonts w:asciiTheme="majorBidi" w:hAnsiTheme="majorBidi" w:cstheme="majorBidi"/>
        </w:rPr>
        <w:footnoteReference w:id="2"/>
      </w:r>
      <w:r w:rsidRPr="0017531A">
        <w:rPr>
          <w:rFonts w:asciiTheme="majorBidi" w:hAnsiTheme="majorBidi" w:cstheme="majorBidi"/>
        </w:rPr>
        <w:t>.</w:t>
      </w:r>
      <w:r>
        <w:rPr>
          <w:rFonts w:asciiTheme="majorBidi" w:hAnsiTheme="majorBidi" w:cstheme="majorBidi"/>
        </w:rPr>
        <w:t xml:space="preserve"> </w:t>
      </w:r>
    </w:p>
    <w:p w14:paraId="39F5DA73" w14:textId="77777777" w:rsidR="00DC4BFE" w:rsidRPr="007803D3" w:rsidRDefault="00000000" w:rsidP="00DC4BFE">
      <w:pPr>
        <w:pStyle w:val="NormalWeb"/>
        <w:shd w:val="clear" w:color="auto" w:fill="FFFFFF" w:themeFill="background1"/>
        <w:spacing w:before="0" w:beforeAutospacing="0" w:after="0" w:afterAutospacing="0" w:line="276" w:lineRule="auto"/>
        <w:ind w:firstLine="360"/>
        <w:contextualSpacing/>
        <w:jc w:val="both"/>
        <w:rPr>
          <w:rFonts w:asciiTheme="majorBidi" w:hAnsiTheme="majorBidi" w:cstheme="majorBidi"/>
        </w:rPr>
      </w:pPr>
      <w:r w:rsidRPr="22B7BF77">
        <w:rPr>
          <w:rFonts w:asciiTheme="majorBidi" w:hAnsiTheme="majorBidi" w:cstheme="majorBidi"/>
        </w:rPr>
        <w:t>SPKC aicina ģimenes ārstus turpināt apzināt pret masalām un citām vakcīnnovēršamām slimībām nevakcinētus bērnus un organizēt viņu vakcināciju.</w:t>
      </w:r>
    </w:p>
    <w:p w14:paraId="27CA3F4D" w14:textId="77777777" w:rsidR="00DC4BFE" w:rsidRPr="007803D3" w:rsidRDefault="00000000" w:rsidP="00DC4BFE">
      <w:pPr>
        <w:pStyle w:val="NormalWeb"/>
        <w:shd w:val="clear" w:color="auto" w:fill="FFFFFF" w:themeFill="background1"/>
        <w:spacing w:before="0" w:beforeAutospacing="0" w:after="0" w:afterAutospacing="0" w:line="276" w:lineRule="auto"/>
        <w:ind w:firstLine="360"/>
        <w:contextualSpacing/>
        <w:jc w:val="both"/>
        <w:rPr>
          <w:rFonts w:asciiTheme="majorBidi" w:hAnsiTheme="majorBidi" w:cstheme="majorBidi"/>
          <w:shd w:val="clear" w:color="auto" w:fill="FFFFFF"/>
        </w:rPr>
      </w:pPr>
      <w:r w:rsidRPr="22B7BF77">
        <w:rPr>
          <w:rFonts w:asciiTheme="majorBidi" w:hAnsiTheme="majorBidi" w:cstheme="majorBidi"/>
        </w:rPr>
        <w:t>SPKC lūdz izplātīt šo vēstuli Jūsu asociācijas locekļu un slimnīcu ārstniecības personu vidū.</w:t>
      </w:r>
    </w:p>
    <w:p w14:paraId="14EB386E" w14:textId="77777777" w:rsidR="00DC4BFE" w:rsidRDefault="00DC4BFE" w:rsidP="00DC4BFE">
      <w:pPr>
        <w:spacing w:line="276" w:lineRule="auto"/>
        <w:ind w:firstLine="720"/>
        <w:contextualSpacing/>
        <w:jc w:val="both"/>
        <w:rPr>
          <w:rFonts w:asciiTheme="majorBidi" w:hAnsiTheme="majorBidi" w:cstheme="majorBidi"/>
          <w:sz w:val="24"/>
          <w:szCs w:val="24"/>
        </w:rPr>
      </w:pPr>
    </w:p>
    <w:p w14:paraId="1EE08411" w14:textId="77777777" w:rsidR="00DC4BFE" w:rsidRPr="007803D3" w:rsidRDefault="00000000" w:rsidP="00DC4BFE">
      <w:pPr>
        <w:spacing w:line="276" w:lineRule="auto"/>
        <w:ind w:left="360"/>
        <w:contextualSpacing/>
        <w:rPr>
          <w:rFonts w:asciiTheme="majorBidi" w:hAnsiTheme="majorBidi" w:cstheme="majorBidi"/>
          <w:sz w:val="24"/>
          <w:szCs w:val="24"/>
        </w:rPr>
      </w:pPr>
      <w:r w:rsidRPr="007803D3">
        <w:rPr>
          <w:rFonts w:asciiTheme="majorBidi" w:hAnsiTheme="majorBidi" w:cstheme="majorBidi"/>
          <w:sz w:val="24"/>
          <w:szCs w:val="24"/>
          <w:shd w:val="clear" w:color="auto" w:fill="FFFFFF"/>
        </w:rPr>
        <w:t xml:space="preserve">Pielikumā: </w:t>
      </w:r>
    </w:p>
    <w:p w14:paraId="26374B2E" w14:textId="77777777" w:rsidR="00DC4BFE" w:rsidRPr="007803D3" w:rsidRDefault="00000000" w:rsidP="00DC4BFE">
      <w:pPr>
        <w:pStyle w:val="ListParagraph"/>
        <w:numPr>
          <w:ilvl w:val="0"/>
          <w:numId w:val="3"/>
        </w:numPr>
        <w:spacing w:after="0"/>
        <w:rPr>
          <w:rFonts w:asciiTheme="majorBidi" w:hAnsiTheme="majorBidi" w:cstheme="majorBidi"/>
          <w:sz w:val="24"/>
          <w:szCs w:val="24"/>
        </w:rPr>
      </w:pPr>
      <w:r w:rsidRPr="007803D3">
        <w:rPr>
          <w:rFonts w:asciiTheme="majorBidi" w:hAnsiTheme="majorBidi" w:cstheme="majorBidi"/>
          <w:sz w:val="24"/>
          <w:szCs w:val="24"/>
        </w:rPr>
        <w:t>Masalu gadījuma definīcija</w:t>
      </w:r>
    </w:p>
    <w:p w14:paraId="324BF6BC" w14:textId="77777777" w:rsidR="00DC4BFE" w:rsidRPr="007803D3" w:rsidRDefault="00000000" w:rsidP="00DC4BFE">
      <w:pPr>
        <w:pStyle w:val="ListParagraph"/>
        <w:numPr>
          <w:ilvl w:val="0"/>
          <w:numId w:val="3"/>
        </w:numPr>
        <w:spacing w:after="0"/>
        <w:rPr>
          <w:rFonts w:asciiTheme="majorBidi" w:hAnsiTheme="majorBidi" w:cstheme="majorBidi"/>
          <w:sz w:val="24"/>
          <w:szCs w:val="24"/>
          <w:shd w:val="clear" w:color="auto" w:fill="FFFFFF"/>
        </w:rPr>
      </w:pPr>
      <w:r w:rsidRPr="007803D3">
        <w:rPr>
          <w:rFonts w:asciiTheme="majorBidi" w:hAnsiTheme="majorBidi" w:cstheme="majorBidi"/>
          <w:sz w:val="24"/>
          <w:szCs w:val="24"/>
          <w:shd w:val="clear" w:color="auto" w:fill="FFFFFF"/>
        </w:rPr>
        <w:t>Ieteikumi masalu un masaliņu diagnostikai</w:t>
      </w:r>
    </w:p>
    <w:bookmarkEnd w:id="0"/>
    <w:p w14:paraId="1AD5D4E8" w14:textId="1F75EF69" w:rsidR="00A91007" w:rsidRPr="00A91007" w:rsidRDefault="00A91007" w:rsidP="00477923">
      <w:pPr>
        <w:pStyle w:val="BodyB"/>
      </w:pPr>
    </w:p>
    <w:sectPr w:rsidR="00A91007" w:rsidRPr="00A91007" w:rsidSect="008C265B">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93B82" w14:textId="77777777" w:rsidR="007B4701" w:rsidRDefault="007B4701">
      <w:r>
        <w:separator/>
      </w:r>
    </w:p>
  </w:endnote>
  <w:endnote w:type="continuationSeparator" w:id="0">
    <w:p w14:paraId="7271BC52" w14:textId="77777777" w:rsidR="007B4701" w:rsidRDefault="007B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6B3A" w14:textId="77777777" w:rsidR="00F84E4B" w:rsidRDefault="00000000" w:rsidP="00F84E4B">
    <w:pPr>
      <w:pStyle w:val="Footer"/>
      <w:jc w:val="center"/>
    </w:pPr>
    <w:r w:rsidRPr="001B3C4F">
      <w:t>DOKUMENTS PARAKSTĪTS ELEKTRONISKI AR DROŠU ELEKTRONISKO PARAKSTU</w:t>
    </w:r>
  </w:p>
  <w:p w14:paraId="775A6B68" w14:textId="77777777" w:rsidR="00CD015F" w:rsidRDefault="00000000" w:rsidP="00F84E4B">
    <w:pPr>
      <w:pStyle w:val="Footer"/>
      <w:jc w:val="center"/>
    </w:pPr>
    <w:r w:rsidRPr="001B3C4F">
      <w:t xml:space="preserve">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07F1D" w14:textId="77777777" w:rsidR="007B4701" w:rsidRDefault="007B4701">
      <w:r>
        <w:separator/>
      </w:r>
    </w:p>
  </w:footnote>
  <w:footnote w:type="continuationSeparator" w:id="0">
    <w:p w14:paraId="753EC6BF" w14:textId="77777777" w:rsidR="007B4701" w:rsidRDefault="007B4701">
      <w:r>
        <w:continuationSeparator/>
      </w:r>
    </w:p>
  </w:footnote>
  <w:footnote w:id="1">
    <w:p w14:paraId="46B658F3" w14:textId="77777777" w:rsidR="00DC4BFE" w:rsidRPr="00AB0D97" w:rsidRDefault="00000000" w:rsidP="00DC4BFE">
      <w:pPr>
        <w:pStyle w:val="FootnoteText"/>
        <w:rPr>
          <w:rFonts w:asciiTheme="majorBidi" w:hAnsiTheme="majorBidi" w:cstheme="majorBidi"/>
          <w:lang w:val="en-US"/>
        </w:rPr>
      </w:pPr>
      <w:r w:rsidRPr="00AB0D97">
        <w:rPr>
          <w:rStyle w:val="FootnoteReference"/>
          <w:rFonts w:asciiTheme="majorBidi" w:hAnsiTheme="majorBidi" w:cstheme="majorBidi"/>
        </w:rPr>
        <w:footnoteRef/>
      </w:r>
      <w:r w:rsidRPr="00AB0D97">
        <w:rPr>
          <w:rFonts w:asciiTheme="majorBidi" w:hAnsiTheme="majorBidi" w:cstheme="majorBidi"/>
        </w:rPr>
        <w:t xml:space="preserve"> https://www.who.int/europe/news/item/10-02-2023-immediate-and-targeted-catch-up-vaccination-needed-to-avert-measles-resurgence</w:t>
      </w:r>
    </w:p>
  </w:footnote>
  <w:footnote w:id="2">
    <w:p w14:paraId="5C7F2C3B" w14:textId="77777777" w:rsidR="00DC4BFE" w:rsidRPr="004D46CC" w:rsidRDefault="00000000" w:rsidP="00DC4BFE">
      <w:pPr>
        <w:pStyle w:val="FootnoteText"/>
        <w:rPr>
          <w:rFonts w:asciiTheme="majorBidi" w:hAnsiTheme="majorBidi" w:cstheme="majorBidi"/>
          <w:lang w:val="en-US"/>
        </w:rPr>
      </w:pPr>
      <w:r w:rsidRPr="004D46CC">
        <w:rPr>
          <w:rStyle w:val="FootnoteReference"/>
          <w:rFonts w:asciiTheme="majorBidi" w:hAnsiTheme="majorBidi" w:cstheme="majorBidi"/>
        </w:rPr>
        <w:footnoteRef/>
      </w:r>
      <w:r w:rsidRPr="004D46CC">
        <w:rPr>
          <w:rFonts w:asciiTheme="majorBidi" w:hAnsiTheme="majorBidi" w:cstheme="majorBidi"/>
        </w:rPr>
        <w:t xml:space="preserve"> https://likumi.lv/doc.php?id=252619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3DA31"/>
    <w:multiLevelType w:val="hybridMultilevel"/>
    <w:tmpl w:val="FFFFFFFF"/>
    <w:lvl w:ilvl="0" w:tplc="B4B61EDE">
      <w:start w:val="1"/>
      <w:numFmt w:val="bullet"/>
      <w:lvlText w:val=""/>
      <w:lvlJc w:val="left"/>
      <w:pPr>
        <w:ind w:left="720" w:hanging="360"/>
      </w:pPr>
      <w:rPr>
        <w:rFonts w:ascii="Symbol" w:hAnsi="Symbol" w:hint="default"/>
      </w:rPr>
    </w:lvl>
    <w:lvl w:ilvl="1" w:tplc="6BD4FF1A">
      <w:start w:val="1"/>
      <w:numFmt w:val="bullet"/>
      <w:lvlText w:val="o"/>
      <w:lvlJc w:val="left"/>
      <w:pPr>
        <w:ind w:left="1440" w:hanging="360"/>
      </w:pPr>
      <w:rPr>
        <w:rFonts w:ascii="Courier New" w:hAnsi="Courier New" w:hint="default"/>
      </w:rPr>
    </w:lvl>
    <w:lvl w:ilvl="2" w:tplc="23C4A09C">
      <w:start w:val="1"/>
      <w:numFmt w:val="bullet"/>
      <w:lvlText w:val=""/>
      <w:lvlJc w:val="left"/>
      <w:pPr>
        <w:ind w:left="2160" w:hanging="360"/>
      </w:pPr>
      <w:rPr>
        <w:rFonts w:ascii="Wingdings" w:hAnsi="Wingdings" w:hint="default"/>
      </w:rPr>
    </w:lvl>
    <w:lvl w:ilvl="3" w:tplc="27A449B4">
      <w:start w:val="1"/>
      <w:numFmt w:val="bullet"/>
      <w:lvlText w:val=""/>
      <w:lvlJc w:val="left"/>
      <w:pPr>
        <w:ind w:left="2880" w:hanging="360"/>
      </w:pPr>
      <w:rPr>
        <w:rFonts w:ascii="Symbol" w:hAnsi="Symbol" w:hint="default"/>
      </w:rPr>
    </w:lvl>
    <w:lvl w:ilvl="4" w:tplc="0A7A53F0">
      <w:start w:val="1"/>
      <w:numFmt w:val="bullet"/>
      <w:lvlText w:val="o"/>
      <w:lvlJc w:val="left"/>
      <w:pPr>
        <w:ind w:left="3600" w:hanging="360"/>
      </w:pPr>
      <w:rPr>
        <w:rFonts w:ascii="Courier New" w:hAnsi="Courier New" w:hint="default"/>
      </w:rPr>
    </w:lvl>
    <w:lvl w:ilvl="5" w:tplc="8FB460E0">
      <w:start w:val="1"/>
      <w:numFmt w:val="bullet"/>
      <w:lvlText w:val=""/>
      <w:lvlJc w:val="left"/>
      <w:pPr>
        <w:ind w:left="4320" w:hanging="360"/>
      </w:pPr>
      <w:rPr>
        <w:rFonts w:ascii="Wingdings" w:hAnsi="Wingdings" w:hint="default"/>
      </w:rPr>
    </w:lvl>
    <w:lvl w:ilvl="6" w:tplc="C5667908">
      <w:start w:val="1"/>
      <w:numFmt w:val="bullet"/>
      <w:lvlText w:val=""/>
      <w:lvlJc w:val="left"/>
      <w:pPr>
        <w:ind w:left="5040" w:hanging="360"/>
      </w:pPr>
      <w:rPr>
        <w:rFonts w:ascii="Symbol" w:hAnsi="Symbol" w:hint="default"/>
      </w:rPr>
    </w:lvl>
    <w:lvl w:ilvl="7" w:tplc="9CA6F788">
      <w:start w:val="1"/>
      <w:numFmt w:val="bullet"/>
      <w:lvlText w:val="o"/>
      <w:lvlJc w:val="left"/>
      <w:pPr>
        <w:ind w:left="5760" w:hanging="360"/>
      </w:pPr>
      <w:rPr>
        <w:rFonts w:ascii="Courier New" w:hAnsi="Courier New" w:hint="default"/>
      </w:rPr>
    </w:lvl>
    <w:lvl w:ilvl="8" w:tplc="B356A02E">
      <w:start w:val="1"/>
      <w:numFmt w:val="bullet"/>
      <w:lvlText w:val=""/>
      <w:lvlJc w:val="left"/>
      <w:pPr>
        <w:ind w:left="6480" w:hanging="360"/>
      </w:pPr>
      <w:rPr>
        <w:rFonts w:ascii="Wingdings" w:hAnsi="Wingdings" w:hint="default"/>
      </w:rPr>
    </w:lvl>
  </w:abstractNum>
  <w:abstractNum w:abstractNumId="1" w15:restartNumberingAfterBreak="0">
    <w:nsid w:val="45FE67A6"/>
    <w:multiLevelType w:val="hybridMultilevel"/>
    <w:tmpl w:val="04987D20"/>
    <w:lvl w:ilvl="0" w:tplc="13BEBB8A">
      <w:start w:val="1"/>
      <w:numFmt w:val="decimal"/>
      <w:lvlText w:val="%1."/>
      <w:lvlJc w:val="left"/>
      <w:pPr>
        <w:ind w:left="720" w:hanging="360"/>
      </w:pPr>
    </w:lvl>
    <w:lvl w:ilvl="1" w:tplc="116EEC44">
      <w:start w:val="1"/>
      <w:numFmt w:val="lowerLetter"/>
      <w:lvlText w:val="%2."/>
      <w:lvlJc w:val="left"/>
      <w:pPr>
        <w:ind w:left="1440" w:hanging="360"/>
      </w:pPr>
    </w:lvl>
    <w:lvl w:ilvl="2" w:tplc="72BE832E">
      <w:start w:val="1"/>
      <w:numFmt w:val="lowerRoman"/>
      <w:lvlText w:val="%3."/>
      <w:lvlJc w:val="right"/>
      <w:pPr>
        <w:ind w:left="2160" w:hanging="180"/>
      </w:pPr>
    </w:lvl>
    <w:lvl w:ilvl="3" w:tplc="FC1C6B90">
      <w:start w:val="1"/>
      <w:numFmt w:val="decimal"/>
      <w:lvlText w:val="%4."/>
      <w:lvlJc w:val="left"/>
      <w:pPr>
        <w:ind w:left="2880" w:hanging="360"/>
      </w:pPr>
    </w:lvl>
    <w:lvl w:ilvl="4" w:tplc="10201168">
      <w:start w:val="1"/>
      <w:numFmt w:val="lowerLetter"/>
      <w:lvlText w:val="%5."/>
      <w:lvlJc w:val="left"/>
      <w:pPr>
        <w:ind w:left="3600" w:hanging="360"/>
      </w:pPr>
    </w:lvl>
    <w:lvl w:ilvl="5" w:tplc="33F22CD8">
      <w:start w:val="1"/>
      <w:numFmt w:val="lowerRoman"/>
      <w:lvlText w:val="%6."/>
      <w:lvlJc w:val="right"/>
      <w:pPr>
        <w:ind w:left="4320" w:hanging="180"/>
      </w:pPr>
    </w:lvl>
    <w:lvl w:ilvl="6" w:tplc="E520A5F2">
      <w:start w:val="1"/>
      <w:numFmt w:val="decimal"/>
      <w:lvlText w:val="%7."/>
      <w:lvlJc w:val="left"/>
      <w:pPr>
        <w:ind w:left="5040" w:hanging="360"/>
      </w:pPr>
    </w:lvl>
    <w:lvl w:ilvl="7" w:tplc="D08C4548">
      <w:start w:val="1"/>
      <w:numFmt w:val="lowerLetter"/>
      <w:lvlText w:val="%8."/>
      <w:lvlJc w:val="left"/>
      <w:pPr>
        <w:ind w:left="5760" w:hanging="360"/>
      </w:pPr>
    </w:lvl>
    <w:lvl w:ilvl="8" w:tplc="65BAF8EA">
      <w:start w:val="1"/>
      <w:numFmt w:val="lowerRoman"/>
      <w:lvlText w:val="%9."/>
      <w:lvlJc w:val="right"/>
      <w:pPr>
        <w:ind w:left="6480" w:hanging="180"/>
      </w:pPr>
    </w:lvl>
  </w:abstractNum>
  <w:abstractNum w:abstractNumId="2" w15:restartNumberingAfterBreak="0">
    <w:nsid w:val="6F776723"/>
    <w:multiLevelType w:val="hybridMultilevel"/>
    <w:tmpl w:val="75C4787A"/>
    <w:lvl w:ilvl="0" w:tplc="CEAE83D6">
      <w:start w:val="1"/>
      <w:numFmt w:val="decimal"/>
      <w:lvlText w:val="%1."/>
      <w:lvlJc w:val="left"/>
      <w:pPr>
        <w:ind w:left="720" w:hanging="360"/>
      </w:pPr>
      <w:rPr>
        <w:rFonts w:hint="default"/>
      </w:rPr>
    </w:lvl>
    <w:lvl w:ilvl="1" w:tplc="47E46E84">
      <w:start w:val="1"/>
      <w:numFmt w:val="lowerLetter"/>
      <w:lvlText w:val="%2."/>
      <w:lvlJc w:val="left"/>
      <w:pPr>
        <w:ind w:left="1440" w:hanging="360"/>
      </w:pPr>
    </w:lvl>
    <w:lvl w:ilvl="2" w:tplc="414C80E6" w:tentative="1">
      <w:start w:val="1"/>
      <w:numFmt w:val="lowerRoman"/>
      <w:lvlText w:val="%3."/>
      <w:lvlJc w:val="right"/>
      <w:pPr>
        <w:ind w:left="2160" w:hanging="180"/>
      </w:pPr>
    </w:lvl>
    <w:lvl w:ilvl="3" w:tplc="994EAC82" w:tentative="1">
      <w:start w:val="1"/>
      <w:numFmt w:val="decimal"/>
      <w:lvlText w:val="%4."/>
      <w:lvlJc w:val="left"/>
      <w:pPr>
        <w:ind w:left="2880" w:hanging="360"/>
      </w:pPr>
    </w:lvl>
    <w:lvl w:ilvl="4" w:tplc="852098A0" w:tentative="1">
      <w:start w:val="1"/>
      <w:numFmt w:val="lowerLetter"/>
      <w:lvlText w:val="%5."/>
      <w:lvlJc w:val="left"/>
      <w:pPr>
        <w:ind w:left="3600" w:hanging="360"/>
      </w:pPr>
    </w:lvl>
    <w:lvl w:ilvl="5" w:tplc="C2C0C9F4" w:tentative="1">
      <w:start w:val="1"/>
      <w:numFmt w:val="lowerRoman"/>
      <w:lvlText w:val="%6."/>
      <w:lvlJc w:val="right"/>
      <w:pPr>
        <w:ind w:left="4320" w:hanging="180"/>
      </w:pPr>
    </w:lvl>
    <w:lvl w:ilvl="6" w:tplc="2ABA9BAE" w:tentative="1">
      <w:start w:val="1"/>
      <w:numFmt w:val="decimal"/>
      <w:lvlText w:val="%7."/>
      <w:lvlJc w:val="left"/>
      <w:pPr>
        <w:ind w:left="5040" w:hanging="360"/>
      </w:pPr>
    </w:lvl>
    <w:lvl w:ilvl="7" w:tplc="D6365326" w:tentative="1">
      <w:start w:val="1"/>
      <w:numFmt w:val="lowerLetter"/>
      <w:lvlText w:val="%8."/>
      <w:lvlJc w:val="left"/>
      <w:pPr>
        <w:ind w:left="5760" w:hanging="360"/>
      </w:pPr>
    </w:lvl>
    <w:lvl w:ilvl="8" w:tplc="60FE859A" w:tentative="1">
      <w:start w:val="1"/>
      <w:numFmt w:val="lowerRoman"/>
      <w:lvlText w:val="%9."/>
      <w:lvlJc w:val="right"/>
      <w:pPr>
        <w:ind w:left="6480" w:hanging="180"/>
      </w:pPr>
    </w:lvl>
  </w:abstractNum>
  <w:abstractNum w:abstractNumId="3"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225332260">
    <w:abstractNumId w:val="2"/>
  </w:num>
  <w:num w:numId="2" w16cid:durableId="1591087283">
    <w:abstractNumId w:val="3"/>
  </w:num>
  <w:num w:numId="3" w16cid:durableId="259684951">
    <w:abstractNumId w:val="1"/>
  </w:num>
  <w:num w:numId="4" w16cid:durableId="2037732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CC"/>
    <w:rsid w:val="00020179"/>
    <w:rsid w:val="000D65D1"/>
    <w:rsid w:val="00112C48"/>
    <w:rsid w:val="00154B6E"/>
    <w:rsid w:val="00161DDA"/>
    <w:rsid w:val="0017531A"/>
    <w:rsid w:val="00195A3A"/>
    <w:rsid w:val="001963C5"/>
    <w:rsid w:val="001B3C4F"/>
    <w:rsid w:val="001F3DE1"/>
    <w:rsid w:val="002079F2"/>
    <w:rsid w:val="00222B8B"/>
    <w:rsid w:val="00237C47"/>
    <w:rsid w:val="00247E9C"/>
    <w:rsid w:val="00280BAC"/>
    <w:rsid w:val="002C0A3A"/>
    <w:rsid w:val="002C418E"/>
    <w:rsid w:val="00376EF5"/>
    <w:rsid w:val="003A5E2C"/>
    <w:rsid w:val="003E7BBE"/>
    <w:rsid w:val="003F2940"/>
    <w:rsid w:val="003F6412"/>
    <w:rsid w:val="00415D28"/>
    <w:rsid w:val="00443D6E"/>
    <w:rsid w:val="004568DF"/>
    <w:rsid w:val="00456D43"/>
    <w:rsid w:val="00477923"/>
    <w:rsid w:val="00480BD0"/>
    <w:rsid w:val="004A063D"/>
    <w:rsid w:val="004D46CC"/>
    <w:rsid w:val="00505CA0"/>
    <w:rsid w:val="005249D9"/>
    <w:rsid w:val="00545541"/>
    <w:rsid w:val="0055269A"/>
    <w:rsid w:val="005603D1"/>
    <w:rsid w:val="00587CC8"/>
    <w:rsid w:val="005D2B7F"/>
    <w:rsid w:val="005D3E87"/>
    <w:rsid w:val="006765DF"/>
    <w:rsid w:val="006D3FD6"/>
    <w:rsid w:val="00703E58"/>
    <w:rsid w:val="007322A6"/>
    <w:rsid w:val="007803D3"/>
    <w:rsid w:val="007906BB"/>
    <w:rsid w:val="007B4701"/>
    <w:rsid w:val="00893003"/>
    <w:rsid w:val="008B15BC"/>
    <w:rsid w:val="008B6D06"/>
    <w:rsid w:val="008B72AA"/>
    <w:rsid w:val="008B742D"/>
    <w:rsid w:val="008C265B"/>
    <w:rsid w:val="00987215"/>
    <w:rsid w:val="00994AA3"/>
    <w:rsid w:val="009E26F3"/>
    <w:rsid w:val="00A23AAC"/>
    <w:rsid w:val="00A24A6B"/>
    <w:rsid w:val="00A277B8"/>
    <w:rsid w:val="00A91007"/>
    <w:rsid w:val="00AB0D97"/>
    <w:rsid w:val="00AF046C"/>
    <w:rsid w:val="00AF6CFB"/>
    <w:rsid w:val="00B16961"/>
    <w:rsid w:val="00B54E90"/>
    <w:rsid w:val="00B86B76"/>
    <w:rsid w:val="00BE7124"/>
    <w:rsid w:val="00BF3D96"/>
    <w:rsid w:val="00C12D6E"/>
    <w:rsid w:val="00C4438A"/>
    <w:rsid w:val="00C654DD"/>
    <w:rsid w:val="00C92245"/>
    <w:rsid w:val="00CA27BF"/>
    <w:rsid w:val="00CB2202"/>
    <w:rsid w:val="00CB77F0"/>
    <w:rsid w:val="00CC1A82"/>
    <w:rsid w:val="00CC4F90"/>
    <w:rsid w:val="00CD015F"/>
    <w:rsid w:val="00D5053F"/>
    <w:rsid w:val="00D831E1"/>
    <w:rsid w:val="00D92D62"/>
    <w:rsid w:val="00D97156"/>
    <w:rsid w:val="00DC0153"/>
    <w:rsid w:val="00DC1881"/>
    <w:rsid w:val="00DC4BFE"/>
    <w:rsid w:val="00DE33E0"/>
    <w:rsid w:val="00E029CF"/>
    <w:rsid w:val="00E10BEB"/>
    <w:rsid w:val="00E33119"/>
    <w:rsid w:val="00E402D8"/>
    <w:rsid w:val="00E46716"/>
    <w:rsid w:val="00E46A48"/>
    <w:rsid w:val="00E55896"/>
    <w:rsid w:val="00E92ACC"/>
    <w:rsid w:val="00EC6B3B"/>
    <w:rsid w:val="00EE4551"/>
    <w:rsid w:val="00EE7EE5"/>
    <w:rsid w:val="00F84E4B"/>
    <w:rsid w:val="00FB54D0"/>
    <w:rsid w:val="00FE4CB2"/>
    <w:rsid w:val="0C7B0FBE"/>
    <w:rsid w:val="0E32D59B"/>
    <w:rsid w:val="1124E7F6"/>
    <w:rsid w:val="22B7BF77"/>
    <w:rsid w:val="2FAB14BE"/>
    <w:rsid w:val="3184EBA2"/>
    <w:rsid w:val="3CF36CDB"/>
    <w:rsid w:val="3FE57F36"/>
    <w:rsid w:val="4D72CE42"/>
    <w:rsid w:val="65566310"/>
    <w:rsid w:val="70C4E449"/>
    <w:rsid w:val="764F40CC"/>
    <w:rsid w:val="7B74F23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6D33"/>
  <w15:chartTrackingRefBased/>
  <w15:docId w15:val="{457F659D-D5EA-4E30-BD39-445F2339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6B"/>
    <w:rPr>
      <w:rFonts w:eastAsia="Times New Roman"/>
      <w:lang w:eastAsia="en-US"/>
    </w:rPr>
  </w:style>
  <w:style w:type="paragraph" w:styleId="Heading1">
    <w:name w:val="heading 1"/>
    <w:basedOn w:val="Normal"/>
    <w:next w:val="Normal"/>
    <w:link w:val="Heading1Char"/>
    <w:uiPriority w:val="9"/>
    <w:qFormat/>
    <w:rsid w:val="00994AA3"/>
    <w:pPr>
      <w:keepNext/>
      <w:jc w:val="center"/>
      <w:outlineLvl w:val="0"/>
    </w:pPr>
    <w:rPr>
      <w:b/>
      <w:bCs/>
    </w:rPr>
  </w:style>
  <w:style w:type="paragraph" w:styleId="Heading2">
    <w:name w:val="heading 2"/>
    <w:basedOn w:val="Normal"/>
    <w:next w:val="Normal"/>
    <w:link w:val="Heading2Char"/>
    <w:qFormat/>
    <w:rsid w:val="00994AA3"/>
    <w:pPr>
      <w:keepNext/>
      <w:tabs>
        <w:tab w:val="num" w:pos="495"/>
      </w:tabs>
      <w:ind w:left="495" w:hanging="495"/>
      <w:outlineLvl w:val="1"/>
    </w:pPr>
    <w:rPr>
      <w:b/>
    </w:rPr>
  </w:style>
  <w:style w:type="paragraph" w:styleId="Heading3">
    <w:name w:val="heading 3"/>
    <w:basedOn w:val="Normal"/>
    <w:next w:val="Normal"/>
    <w:link w:val="Heading3Char"/>
    <w:qFormat/>
    <w:rsid w:val="00994AA3"/>
    <w:pPr>
      <w:keepNext/>
      <w:outlineLvl w:val="2"/>
    </w:pPr>
    <w:rPr>
      <w:b/>
      <w:color w:val="FF0000"/>
      <w:sz w:val="44"/>
    </w:rPr>
  </w:style>
  <w:style w:type="paragraph" w:styleId="Heading4">
    <w:name w:val="heading 4"/>
    <w:basedOn w:val="Normal"/>
    <w:link w:val="Heading4Char"/>
    <w:uiPriority w:val="9"/>
    <w:qFormat/>
    <w:rsid w:val="00994AA3"/>
    <w:pPr>
      <w:spacing w:before="100" w:beforeAutospacing="1" w:after="100" w:afterAutospacing="1"/>
      <w:outlineLvl w:val="3"/>
    </w:pPr>
    <w:rPr>
      <w:b/>
      <w:bCs/>
    </w:rPr>
  </w:style>
  <w:style w:type="paragraph" w:styleId="Heading5">
    <w:name w:val="heading 5"/>
    <w:basedOn w:val="Normal"/>
    <w:next w:val="Normal"/>
    <w:link w:val="Heading5Char"/>
    <w:uiPriority w:val="9"/>
    <w:qFormat/>
    <w:rsid w:val="00994AA3"/>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4AA3"/>
    <w:rPr>
      <w:b/>
      <w:bCs/>
      <w:sz w:val="24"/>
      <w:szCs w:val="24"/>
    </w:rPr>
  </w:style>
  <w:style w:type="character" w:customStyle="1" w:styleId="Heading2Char">
    <w:name w:val="Heading 2 Char"/>
    <w:link w:val="Heading2"/>
    <w:rsid w:val="00994AA3"/>
    <w:rPr>
      <w:b/>
      <w:sz w:val="24"/>
    </w:rPr>
  </w:style>
  <w:style w:type="character" w:customStyle="1" w:styleId="Heading3Char">
    <w:name w:val="Heading 3 Char"/>
    <w:link w:val="Heading3"/>
    <w:rsid w:val="00994AA3"/>
    <w:rPr>
      <w:b/>
      <w:color w:val="FF0000"/>
      <w:sz w:val="44"/>
    </w:rPr>
  </w:style>
  <w:style w:type="character" w:customStyle="1" w:styleId="Heading4Char">
    <w:name w:val="Heading 4 Char"/>
    <w:link w:val="Heading4"/>
    <w:uiPriority w:val="9"/>
    <w:rsid w:val="00994AA3"/>
    <w:rPr>
      <w:b/>
      <w:bCs/>
      <w:sz w:val="24"/>
      <w:szCs w:val="24"/>
    </w:rPr>
  </w:style>
  <w:style w:type="character" w:customStyle="1" w:styleId="Heading5Char">
    <w:name w:val="Heading 5 Char"/>
    <w:link w:val="Heading5"/>
    <w:uiPriority w:val="9"/>
    <w:rsid w:val="00994AA3"/>
    <w:rPr>
      <w:rFonts w:ascii="Calibri" w:hAnsi="Calibri"/>
      <w:b/>
      <w:bCs/>
      <w:i/>
      <w:iCs/>
      <w:sz w:val="26"/>
      <w:szCs w:val="26"/>
      <w:lang w:val="en-AU" w:eastAsia="x-none"/>
    </w:rPr>
  </w:style>
  <w:style w:type="paragraph" w:styleId="NoSpacing">
    <w:name w:val="No Spacing"/>
    <w:uiPriority w:val="1"/>
    <w:qFormat/>
    <w:rsid w:val="00994AA3"/>
    <w:rPr>
      <w:rFonts w:ascii="Calibri" w:hAnsi="Calibri"/>
      <w:sz w:val="22"/>
      <w:szCs w:val="22"/>
      <w:lang w:eastAsia="en-US"/>
    </w:rPr>
  </w:style>
  <w:style w:type="paragraph" w:styleId="ListParagraph">
    <w:name w:val="List Paragraph"/>
    <w:basedOn w:val="Normal"/>
    <w:uiPriority w:val="34"/>
    <w:qFormat/>
    <w:rsid w:val="00994AA3"/>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994AA3"/>
    <w:rPr>
      <w:i/>
      <w:sz w:val="28"/>
      <w:szCs w:val="28"/>
    </w:rPr>
  </w:style>
  <w:style w:type="character" w:customStyle="1" w:styleId="QuoteChar">
    <w:name w:val="Quote Char"/>
    <w:link w:val="Quote"/>
    <w:uiPriority w:val="29"/>
    <w:rsid w:val="00994AA3"/>
    <w:rPr>
      <w:i/>
      <w:sz w:val="28"/>
      <w:szCs w:val="28"/>
    </w:rPr>
  </w:style>
  <w:style w:type="paragraph" w:styleId="Header">
    <w:name w:val="header"/>
    <w:basedOn w:val="Normal"/>
    <w:link w:val="HeaderChar"/>
    <w:rsid w:val="00A24A6B"/>
    <w:pPr>
      <w:tabs>
        <w:tab w:val="center" w:pos="4320"/>
        <w:tab w:val="right" w:pos="8640"/>
      </w:tabs>
    </w:pPr>
    <w:rPr>
      <w:rFonts w:ascii="Arial" w:hAnsi="Arial"/>
      <w:sz w:val="24"/>
    </w:rPr>
  </w:style>
  <w:style w:type="character" w:customStyle="1" w:styleId="HeaderChar">
    <w:name w:val="Header Char"/>
    <w:link w:val="Header"/>
    <w:rsid w:val="00A24A6B"/>
    <w:rPr>
      <w:rFonts w:ascii="Arial" w:eastAsia="Times New Roman" w:hAnsi="Arial"/>
      <w:sz w:val="24"/>
      <w:lang w:eastAsia="en-US"/>
    </w:rPr>
  </w:style>
  <w:style w:type="table" w:styleId="TableGrid">
    <w:name w:val="Table Grid"/>
    <w:basedOn w:val="TableNormal"/>
    <w:uiPriority w:val="5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015F"/>
    <w:pPr>
      <w:tabs>
        <w:tab w:val="center" w:pos="4153"/>
        <w:tab w:val="right" w:pos="8306"/>
      </w:tabs>
    </w:pPr>
  </w:style>
  <w:style w:type="character" w:customStyle="1" w:styleId="FooterChar">
    <w:name w:val="Footer Char"/>
    <w:link w:val="Footer"/>
    <w:uiPriority w:val="99"/>
    <w:rsid w:val="00CD015F"/>
    <w:rPr>
      <w:rFonts w:eastAsia="Times New Roman"/>
      <w:lang w:eastAsia="en-US"/>
    </w:rPr>
  </w:style>
  <w:style w:type="paragraph" w:customStyle="1" w:styleId="BodyB">
    <w:name w:val="Body B"/>
    <w:rsid w:val="002079F2"/>
    <w:pPr>
      <w:pBdr>
        <w:top w:val="nil"/>
        <w:left w:val="nil"/>
        <w:bottom w:val="nil"/>
        <w:right w:val="nil"/>
        <w:between w:val="nil"/>
        <w:bar w:val="nil"/>
      </w:pBdr>
    </w:pPr>
    <w:rPr>
      <w:rFonts w:eastAsia="Arial Unicode MS" w:cs="Arial Unicode MS"/>
      <w:color w:val="000000"/>
      <w:sz w:val="24"/>
      <w:szCs w:val="24"/>
      <w:u w:color="000000"/>
    </w:rPr>
  </w:style>
  <w:style w:type="paragraph" w:styleId="NormalWeb">
    <w:name w:val="Normal (Web)"/>
    <w:basedOn w:val="Normal"/>
    <w:uiPriority w:val="99"/>
    <w:unhideWhenUsed/>
    <w:rsid w:val="00AB0D97"/>
    <w:pPr>
      <w:spacing w:before="100" w:beforeAutospacing="1" w:after="100" w:afterAutospacing="1"/>
    </w:pPr>
    <w:rPr>
      <w:sz w:val="24"/>
      <w:szCs w:val="24"/>
      <w:lang w:eastAsia="lv-LV"/>
    </w:rPr>
  </w:style>
  <w:style w:type="character" w:styleId="Hyperlink">
    <w:name w:val="Hyperlink"/>
    <w:basedOn w:val="DefaultParagraphFont"/>
    <w:uiPriority w:val="99"/>
    <w:unhideWhenUsed/>
    <w:rsid w:val="00AB0D97"/>
    <w:rPr>
      <w:color w:val="0563C1" w:themeColor="hyperlink"/>
      <w:u w:val="single"/>
    </w:rPr>
  </w:style>
  <w:style w:type="paragraph" w:styleId="FootnoteText">
    <w:name w:val="footnote text"/>
    <w:basedOn w:val="Normal"/>
    <w:link w:val="FootnoteTextChar"/>
    <w:uiPriority w:val="99"/>
    <w:semiHidden/>
    <w:unhideWhenUsed/>
    <w:rsid w:val="00AB0D97"/>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AB0D97"/>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B0D97"/>
    <w:rPr>
      <w:vertAlign w:val="superscript"/>
    </w:rPr>
  </w:style>
  <w:style w:type="paragraph" w:customStyle="1" w:styleId="tv213">
    <w:name w:val="tv213"/>
    <w:basedOn w:val="Normal"/>
    <w:rsid w:val="00DC4BFE"/>
    <w:pPr>
      <w:spacing w:before="100" w:beforeAutospacing="1" w:after="100" w:afterAutospacing="1"/>
    </w:pPr>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kc.gov.lv/lv/zinosanai-par-infekcijas-slimibu-gadijumie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a.purenina\Desktop\SPKC\4_vestule_elektroniskais_paraksts_valsts_valoda_pilnkrasu.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4_vestule_elektroniskais_paraksts_valsts_valoda_pilnkrasu</Template>
  <TotalTime>16</TotalTime>
  <Pages>1</Pages>
  <Words>3030</Words>
  <Characters>1728</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Linda Krauze</cp:lastModifiedBy>
  <cp:revision>12</cp:revision>
  <cp:lastPrinted>2016-02-15T06:53:00Z</cp:lastPrinted>
  <dcterms:created xsi:type="dcterms:W3CDTF">2020-02-27T07:31:00Z</dcterms:created>
  <dcterms:modified xsi:type="dcterms:W3CDTF">2023-03-01T08:17:00Z</dcterms:modified>
</cp:coreProperties>
</file>