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FB20" w14:textId="77777777" w:rsidR="00771BCA" w:rsidRPr="00AC007C" w:rsidRDefault="00771BCA" w:rsidP="00771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07C">
        <w:rPr>
          <w:rFonts w:ascii="Times New Roman" w:hAnsi="Times New Roman"/>
          <w:sz w:val="24"/>
          <w:szCs w:val="24"/>
        </w:rPr>
        <w:t>Pielikums</w:t>
      </w:r>
    </w:p>
    <w:p w14:paraId="06C3E7E6" w14:textId="77777777" w:rsidR="00771BCA" w:rsidRDefault="00771BCA" w:rsidP="00771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A41775" w14:textId="77777777" w:rsidR="000204B8" w:rsidRPr="00AC007C" w:rsidRDefault="000204B8" w:rsidP="00771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24A01F" w14:textId="77777777" w:rsidR="00BF52C9" w:rsidRPr="00BF52C9" w:rsidRDefault="00BF52C9" w:rsidP="00B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2C9">
        <w:rPr>
          <w:rFonts w:ascii="Times New Roman" w:hAnsi="Times New Roman"/>
          <w:b/>
          <w:sz w:val="24"/>
          <w:szCs w:val="24"/>
        </w:rPr>
        <w:t>Ieteikumi ģimenes ārstiem</w:t>
      </w:r>
    </w:p>
    <w:p w14:paraId="061F9D15" w14:textId="77777777" w:rsidR="00BF52C9" w:rsidRPr="00BF52C9" w:rsidRDefault="00BF52C9" w:rsidP="00B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2C9">
        <w:rPr>
          <w:rFonts w:ascii="Times New Roman" w:hAnsi="Times New Roman"/>
          <w:b/>
          <w:sz w:val="24"/>
          <w:szCs w:val="24"/>
        </w:rPr>
        <w:t>„Pārskata par vakcinācijas kalendāra ietvaros vakcinētajām personām” aizpildīšanai</w:t>
      </w:r>
    </w:p>
    <w:p w14:paraId="05D9DD9D" w14:textId="77777777" w:rsidR="00BF52C9" w:rsidRPr="00BF52C9" w:rsidRDefault="00BF52C9" w:rsidP="00771BCA">
      <w:pPr>
        <w:spacing w:after="0" w:line="240" w:lineRule="auto"/>
        <w:jc w:val="center"/>
        <w:rPr>
          <w:rFonts w:ascii="Times New Roman" w:hAnsi="Times New Roman"/>
        </w:rPr>
      </w:pPr>
    </w:p>
    <w:p w14:paraId="12177F3E" w14:textId="77777777" w:rsidR="00BF52C9" w:rsidRPr="00BF52C9" w:rsidRDefault="00BF52C9" w:rsidP="00771BCA">
      <w:pPr>
        <w:spacing w:after="0" w:line="240" w:lineRule="auto"/>
        <w:jc w:val="center"/>
        <w:rPr>
          <w:rFonts w:ascii="Times New Roman" w:hAnsi="Times New Roman"/>
        </w:rPr>
      </w:pPr>
    </w:p>
    <w:p w14:paraId="2A7931A3" w14:textId="4E923199" w:rsidR="00BF52C9" w:rsidRPr="00C1335E" w:rsidRDefault="00BF52C9" w:rsidP="00BF52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35E">
        <w:rPr>
          <w:rFonts w:ascii="Times New Roman" w:hAnsi="Times New Roman"/>
          <w:sz w:val="24"/>
          <w:szCs w:val="24"/>
        </w:rPr>
        <w:t>Aizpildot 20</w:t>
      </w:r>
      <w:r w:rsidR="00DC194A">
        <w:rPr>
          <w:rFonts w:ascii="Times New Roman" w:hAnsi="Times New Roman"/>
          <w:sz w:val="24"/>
          <w:szCs w:val="24"/>
        </w:rPr>
        <w:t>2</w:t>
      </w:r>
      <w:r w:rsidR="00821F2F">
        <w:rPr>
          <w:rFonts w:ascii="Times New Roman" w:hAnsi="Times New Roman"/>
          <w:sz w:val="24"/>
          <w:szCs w:val="24"/>
        </w:rPr>
        <w:t>2</w:t>
      </w:r>
      <w:r w:rsidRPr="00C133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1335E">
        <w:rPr>
          <w:rFonts w:ascii="Times New Roman" w:hAnsi="Times New Roman"/>
          <w:sz w:val="24"/>
          <w:szCs w:val="24"/>
        </w:rPr>
        <w:t>gada pārskatu „Pārskats par vakcinācijas kalendāra ietvaros vakcinētajām personām”</w:t>
      </w:r>
      <w:r w:rsidR="00AC7F4D">
        <w:rPr>
          <w:rFonts w:ascii="Times New Roman" w:hAnsi="Times New Roman"/>
          <w:sz w:val="24"/>
          <w:szCs w:val="24"/>
        </w:rPr>
        <w:t>,</w:t>
      </w:r>
      <w:r w:rsidRPr="00C1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lūdzam </w:t>
      </w:r>
      <w:r w:rsidRPr="00C1335E">
        <w:rPr>
          <w:rFonts w:ascii="Times New Roman" w:hAnsi="Times New Roman"/>
          <w:sz w:val="24"/>
          <w:szCs w:val="24"/>
        </w:rPr>
        <w:t>ievēro</w:t>
      </w:r>
      <w:r>
        <w:rPr>
          <w:rFonts w:ascii="Times New Roman" w:hAnsi="Times New Roman"/>
          <w:sz w:val="24"/>
          <w:szCs w:val="24"/>
        </w:rPr>
        <w:t xml:space="preserve">t </w:t>
      </w:r>
      <w:r w:rsidRPr="00C1335E">
        <w:rPr>
          <w:rFonts w:ascii="Times New Roman" w:hAnsi="Times New Roman"/>
          <w:sz w:val="24"/>
          <w:szCs w:val="24"/>
        </w:rPr>
        <w:t>šādus norādījumus:</w:t>
      </w:r>
    </w:p>
    <w:p w14:paraId="0671F1F7" w14:textId="778FC2E4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>Reģistrēto pacientu imunizācijas statusu izvērtē atbilstoši situācijai 20</w:t>
      </w:r>
      <w:r w:rsidR="00DC194A">
        <w:rPr>
          <w:rFonts w:ascii="Times New Roman" w:hAnsi="Times New Roman"/>
          <w:sz w:val="24"/>
          <w:szCs w:val="24"/>
          <w:lang w:val="lv-LV"/>
        </w:rPr>
        <w:t>2</w:t>
      </w:r>
      <w:r w:rsidR="00821F2F">
        <w:rPr>
          <w:rFonts w:ascii="Times New Roman" w:hAnsi="Times New Roman"/>
          <w:sz w:val="24"/>
          <w:szCs w:val="24"/>
          <w:lang w:val="lv-LV"/>
        </w:rPr>
        <w:t>2</w:t>
      </w:r>
      <w:r w:rsidRPr="00C1335E">
        <w:rPr>
          <w:rFonts w:ascii="Times New Roman" w:hAnsi="Times New Roman"/>
          <w:sz w:val="24"/>
          <w:szCs w:val="24"/>
          <w:lang w:val="lv-LV"/>
        </w:rPr>
        <w:t>.</w:t>
      </w:r>
      <w:r w:rsidR="00723660">
        <w:rPr>
          <w:rFonts w:ascii="Times New Roman" w:hAnsi="Times New Roman"/>
          <w:sz w:val="24"/>
          <w:szCs w:val="24"/>
          <w:lang w:val="lv-LV"/>
        </w:rPr>
        <w:t> </w:t>
      </w:r>
      <w:r w:rsidRPr="00C1335E">
        <w:rPr>
          <w:rFonts w:ascii="Times New Roman" w:hAnsi="Times New Roman"/>
          <w:sz w:val="24"/>
          <w:szCs w:val="24"/>
          <w:lang w:val="lv-LV"/>
        </w:rPr>
        <w:t>gada pēdējā nedēļā (līdz 31.</w:t>
      </w:r>
      <w:r w:rsidR="00723660">
        <w:rPr>
          <w:rFonts w:ascii="Times New Roman" w:hAnsi="Times New Roman"/>
          <w:sz w:val="24"/>
          <w:szCs w:val="24"/>
          <w:lang w:val="lv-LV"/>
        </w:rPr>
        <w:t> </w:t>
      </w:r>
      <w:r w:rsidRPr="00C1335E">
        <w:rPr>
          <w:rFonts w:ascii="Times New Roman" w:hAnsi="Times New Roman"/>
          <w:sz w:val="24"/>
          <w:szCs w:val="24"/>
          <w:lang w:val="lv-LV"/>
        </w:rPr>
        <w:t>decembrim).</w:t>
      </w:r>
    </w:p>
    <w:p w14:paraId="5C5C499A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>Pacientu vakcinācijas statusa noskaidrošanai atlasa un pārbauda visu uzskaitē esošo attiecīgā vecuma personu veidlapas Nr.063/u „Profilaktiskās potēšanas karte” vai citu medicīnisko dokumentāciju</w:t>
      </w:r>
      <w:r w:rsidR="008E51FC">
        <w:rPr>
          <w:rFonts w:ascii="Times New Roman" w:hAnsi="Times New Roman"/>
          <w:sz w:val="24"/>
          <w:szCs w:val="24"/>
          <w:lang w:val="lv-LV"/>
        </w:rPr>
        <w:t xml:space="preserve"> p</w:t>
      </w:r>
      <w:r w:rsidRPr="00C1335E">
        <w:rPr>
          <w:rFonts w:ascii="Times New Roman" w:hAnsi="Times New Roman"/>
          <w:sz w:val="24"/>
          <w:szCs w:val="24"/>
          <w:lang w:val="lv-LV"/>
        </w:rPr>
        <w:t>ar personas imunizācijas datiem.</w:t>
      </w:r>
    </w:p>
    <w:p w14:paraId="5B806D9D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 xml:space="preserve">Uzskaita </w:t>
      </w:r>
      <w:r w:rsidRPr="00DC194A">
        <w:rPr>
          <w:rFonts w:ascii="Times New Roman" w:hAnsi="Times New Roman"/>
          <w:sz w:val="24"/>
          <w:szCs w:val="24"/>
          <w:u w:val="single"/>
          <w:lang w:val="lv-LV"/>
        </w:rPr>
        <w:t>visus</w:t>
      </w:r>
      <w:r>
        <w:rPr>
          <w:rFonts w:ascii="Times New Roman" w:hAnsi="Times New Roman"/>
          <w:sz w:val="24"/>
          <w:szCs w:val="24"/>
          <w:lang w:val="lv-LV"/>
        </w:rPr>
        <w:t xml:space="preserve"> attiecīgā vecuma pacientus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neatkarīgi no imunizācijai izmantoto vakcīnu finansēšanas avota (valsts apmaksāto vakcināciju un vakcināciju kā maksas pakalpojumu).</w:t>
      </w:r>
    </w:p>
    <w:p w14:paraId="68FA039D" w14:textId="3A27E70A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 xml:space="preserve">Pārskata tabulas trešajā ailē 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>„Reģistrēto pacientu skaits”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uzrāda 20</w:t>
      </w:r>
      <w:r w:rsidR="00DC194A">
        <w:rPr>
          <w:rFonts w:ascii="Times New Roman" w:hAnsi="Times New Roman"/>
          <w:sz w:val="24"/>
          <w:szCs w:val="24"/>
          <w:lang w:val="lv-LV"/>
        </w:rPr>
        <w:t>2</w:t>
      </w:r>
      <w:r w:rsidR="00821F2F">
        <w:rPr>
          <w:rFonts w:ascii="Times New Roman" w:hAnsi="Times New Roman"/>
          <w:sz w:val="24"/>
          <w:szCs w:val="24"/>
          <w:lang w:val="lv-LV"/>
        </w:rPr>
        <w:t>2</w:t>
      </w:r>
      <w:r w:rsidRPr="00C1335E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C1335E">
        <w:rPr>
          <w:rFonts w:ascii="Times New Roman" w:hAnsi="Times New Roman"/>
          <w:sz w:val="24"/>
          <w:szCs w:val="24"/>
          <w:lang w:val="lv-LV"/>
        </w:rPr>
        <w:t>gada decembra pēdējā nedēļā ģimenes ārsta</w:t>
      </w:r>
      <w:r w:rsidR="00DC194A">
        <w:rPr>
          <w:rFonts w:ascii="Times New Roman" w:hAnsi="Times New Roman"/>
          <w:sz w:val="24"/>
          <w:szCs w:val="24"/>
          <w:lang w:val="lv-LV"/>
        </w:rPr>
        <w:t xml:space="preserve"> prakses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uzskaitē faktiski esošo pacientu skaitu, atbilstoši norādītajam vecumam (1, 2, 8, </w:t>
      </w:r>
      <w:r w:rsidRPr="00821F2F">
        <w:rPr>
          <w:rFonts w:ascii="Times New Roman" w:hAnsi="Times New Roman"/>
          <w:sz w:val="24"/>
          <w:szCs w:val="24"/>
          <w:lang w:val="lv-LV"/>
        </w:rPr>
        <w:t>13</w:t>
      </w:r>
      <w:r w:rsidR="00157014" w:rsidRPr="00821F2F">
        <w:rPr>
          <w:rFonts w:ascii="Times New Roman" w:hAnsi="Times New Roman"/>
          <w:sz w:val="24"/>
          <w:szCs w:val="24"/>
          <w:lang w:val="lv-LV"/>
        </w:rPr>
        <w:t xml:space="preserve"> (meitenes un zēni</w:t>
      </w:r>
      <w:r w:rsidR="00821F2F" w:rsidRPr="00821F2F">
        <w:rPr>
          <w:rFonts w:ascii="Times New Roman" w:hAnsi="Times New Roman"/>
          <w:sz w:val="24"/>
          <w:szCs w:val="24"/>
          <w:lang w:val="lv-LV"/>
        </w:rPr>
        <w:t>)</w:t>
      </w:r>
      <w:r w:rsidRPr="00821F2F">
        <w:rPr>
          <w:rFonts w:ascii="Times New Roman" w:hAnsi="Times New Roman"/>
          <w:sz w:val="24"/>
          <w:szCs w:val="24"/>
          <w:lang w:val="lv-LV"/>
        </w:rPr>
        <w:t>, 15 gadi</w:t>
      </w:r>
      <w:r>
        <w:rPr>
          <w:rFonts w:ascii="Times New Roman" w:hAnsi="Times New Roman"/>
          <w:sz w:val="24"/>
          <w:szCs w:val="24"/>
          <w:lang w:val="lv-LV"/>
        </w:rPr>
        <w:t>, kā arī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pieaugušie 25 gadi un vecāki).</w:t>
      </w:r>
    </w:p>
    <w:p w14:paraId="5A69873C" w14:textId="77777777" w:rsidR="00BF52C9" w:rsidRPr="00C1335E" w:rsidRDefault="00BF52C9" w:rsidP="00BF52C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1335E">
        <w:rPr>
          <w:rFonts w:ascii="Times New Roman" w:hAnsi="Times New Roman"/>
          <w:b/>
          <w:i/>
          <w:sz w:val="24"/>
          <w:szCs w:val="24"/>
          <w:lang w:val="lv-LV"/>
        </w:rPr>
        <w:t>Piemērs: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Vecuma grupā „1 gads” 3.ailē norāda visus uzskait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ē esošos bērnus, kuru vecums 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>31.decembrī ir no 1 gada līdz 1 gadam 11 mēnešiem 29 dienām</w:t>
      </w:r>
      <w:r w:rsidR="004A783A">
        <w:rPr>
          <w:rFonts w:ascii="Times New Roman" w:hAnsi="Times New Roman"/>
          <w:i/>
          <w:sz w:val="24"/>
          <w:szCs w:val="24"/>
          <w:lang w:val="lv-LV"/>
        </w:rPr>
        <w:t>.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1D75E38A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 xml:space="preserve">Ceturtajā ailē 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„Vakcinēto pacientu skaits” 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uzrāda personu skaitu, kas </w:t>
      </w:r>
      <w:r>
        <w:rPr>
          <w:rFonts w:ascii="Times New Roman" w:hAnsi="Times New Roman"/>
          <w:sz w:val="24"/>
          <w:szCs w:val="24"/>
          <w:lang w:val="lv-LV"/>
        </w:rPr>
        <w:t>līdz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31.decembri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ir saņēmušas 2.ailē norādīto vakcināciju.</w:t>
      </w:r>
    </w:p>
    <w:p w14:paraId="4EA6D756" w14:textId="77777777" w:rsidR="00BF52C9" w:rsidRPr="00C1335E" w:rsidRDefault="00BF52C9" w:rsidP="00BF52C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1335E">
        <w:rPr>
          <w:rFonts w:ascii="Times New Roman" w:hAnsi="Times New Roman"/>
          <w:b/>
          <w:i/>
          <w:sz w:val="24"/>
          <w:szCs w:val="24"/>
          <w:lang w:val="lv-LV"/>
        </w:rPr>
        <w:t>Piemērs: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Ģimenes ārsta uzskaitē decembra pēdējā nedēļā ir seši bērni viena gada vecumā, no kuriem četri saņēmuši 3 potes pret B hepatītu, viens bērns saņēmis tikai 2 potes (sakarā ar kontrindikāciju slimības dēļ) un viens bērns nav saņēmis nevienu poti (sakarā ar rakstiski noformēt</w:t>
      </w:r>
      <w:r>
        <w:rPr>
          <w:rFonts w:ascii="Times New Roman" w:hAnsi="Times New Roman"/>
          <w:i/>
          <w:sz w:val="24"/>
          <w:szCs w:val="24"/>
          <w:lang w:val="lv-LV"/>
        </w:rPr>
        <w:t>u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atteikumu). Tātad trešās ailes attiecīgajā laukā ieraksta „6” un ceturtās ailes attiecīgajā laukā ieraksta „4”. Bērnu, kurš nav saņēmis 3.poti</w:t>
      </w:r>
      <w:r>
        <w:rPr>
          <w:rFonts w:ascii="Times New Roman" w:hAnsi="Times New Roman"/>
          <w:i/>
          <w:sz w:val="24"/>
          <w:szCs w:val="24"/>
          <w:lang w:val="lv-LV"/>
        </w:rPr>
        <w:t>,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uzskaita 6.ailē („Nevakcinēto pacientu skaits ” – „kontrindikācija”), bet bērnu, kurš nav saņēmis nevienu poti, uzska</w:t>
      </w:r>
      <w:r>
        <w:rPr>
          <w:rFonts w:ascii="Times New Roman" w:hAnsi="Times New Roman"/>
          <w:i/>
          <w:sz w:val="24"/>
          <w:szCs w:val="24"/>
          <w:lang w:val="lv-LV"/>
        </w:rPr>
        <w:t>i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>ta 7.ailē („Nevakcinēto pacientu skaits” – „rakstiski noformēts atteikums”).</w:t>
      </w:r>
    </w:p>
    <w:p w14:paraId="719FCC8A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 xml:space="preserve">Vakcinēto personu skaits katrā attiecīgajā vecuma grupā (4.aile) </w:t>
      </w:r>
      <w:r>
        <w:rPr>
          <w:rFonts w:ascii="Times New Roman" w:hAnsi="Times New Roman"/>
          <w:sz w:val="24"/>
          <w:szCs w:val="24"/>
          <w:lang w:val="lv-LV"/>
        </w:rPr>
        <w:t>nedrīkst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pārsniegt reģistrēto pacientu skaitu (3.aile), kā arī 4., 5., 6., 7. un 8.ailes summa </w:t>
      </w:r>
      <w:r>
        <w:rPr>
          <w:rFonts w:ascii="Times New Roman" w:hAnsi="Times New Roman"/>
          <w:sz w:val="24"/>
          <w:szCs w:val="24"/>
          <w:lang w:val="lv-LV"/>
        </w:rPr>
        <w:t>nedrīkst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pārsniegt reģistrēto pacientu skaitu (3.aile).</w:t>
      </w:r>
    </w:p>
    <w:p w14:paraId="1A76C338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>Aizpildot 4.aili par pieaugušo vakcināciju pret difteriju un stingumkrampjiem, uzskaita personas, kurām pēdējo 10 gadu laikā pabeigts vakcinācijas kurss (trīs potes) vai veikta balstvakcinācija.</w:t>
      </w:r>
    </w:p>
    <w:p w14:paraId="592C0333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 xml:space="preserve">Piektajā – astotajā ailē attiecīgi norāda nevakcinēto personu skaitu: pacients ir pārslimojis </w:t>
      </w:r>
      <w:r>
        <w:rPr>
          <w:rFonts w:ascii="Times New Roman" w:hAnsi="Times New Roman"/>
          <w:sz w:val="24"/>
          <w:szCs w:val="24"/>
          <w:lang w:val="lv-LV"/>
        </w:rPr>
        <w:t>attiecīgo infekciju; pacientam ir medicīniska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kontrindikācija pret </w:t>
      </w:r>
      <w:r>
        <w:rPr>
          <w:rFonts w:ascii="Times New Roman" w:hAnsi="Times New Roman"/>
          <w:sz w:val="24"/>
          <w:szCs w:val="24"/>
          <w:lang w:val="lv-LV"/>
        </w:rPr>
        <w:t>attiecīgo vakcināciju;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ģimenes ārstam ir </w:t>
      </w:r>
      <w:r w:rsidRPr="001B195C">
        <w:rPr>
          <w:rFonts w:ascii="Times New Roman" w:hAnsi="Times New Roman"/>
          <w:sz w:val="24"/>
          <w:szCs w:val="24"/>
          <w:lang w:val="lv-LV"/>
        </w:rPr>
        <w:t xml:space="preserve">iesniegts </w:t>
      </w:r>
      <w:r w:rsidRPr="00C1335E">
        <w:rPr>
          <w:rFonts w:ascii="Times New Roman" w:hAnsi="Times New Roman"/>
          <w:sz w:val="24"/>
          <w:szCs w:val="24"/>
          <w:lang w:val="lv-LV"/>
        </w:rPr>
        <w:t>rakstiski noformēts atteikums no vakcinācijas</w:t>
      </w:r>
      <w:r>
        <w:rPr>
          <w:rFonts w:ascii="Times New Roman" w:hAnsi="Times New Roman"/>
          <w:sz w:val="24"/>
          <w:szCs w:val="24"/>
          <w:lang w:val="lv-LV"/>
        </w:rPr>
        <w:t>;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cits iemesls (piem., pacients ir aicināts uz vakcināciju, bet nav ieradies)</w:t>
      </w:r>
    </w:p>
    <w:p w14:paraId="08839CCA" w14:textId="77777777" w:rsidR="00BF52C9" w:rsidRPr="00C1335E" w:rsidRDefault="00BF52C9" w:rsidP="00BF52C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1335E">
        <w:rPr>
          <w:rFonts w:ascii="Times New Roman" w:hAnsi="Times New Roman"/>
          <w:b/>
          <w:i/>
          <w:sz w:val="24"/>
          <w:szCs w:val="24"/>
          <w:lang w:val="lv-LV"/>
        </w:rPr>
        <w:t>Piemērs: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No pieciem pierakstītajiem bērniem vecuma grupā „1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>gads” viens bērns nav saņēmis 3.poti pret B hepatītu, jo nav ieradies uz poti nezinām</w:t>
      </w:r>
      <w:r>
        <w:rPr>
          <w:rFonts w:ascii="Times New Roman" w:hAnsi="Times New Roman"/>
          <w:i/>
          <w:sz w:val="24"/>
          <w:szCs w:val="24"/>
          <w:lang w:val="lv-LV"/>
        </w:rPr>
        <w:t>u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iemeslu dēļ – tabulas pēdējā ailē „cits iemesls” norāda „1”.</w:t>
      </w:r>
    </w:p>
    <w:p w14:paraId="3C229C04" w14:textId="77777777" w:rsidR="00BF52C9" w:rsidRPr="00C1335E" w:rsidRDefault="00BF52C9" w:rsidP="00BF52C9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335E">
        <w:rPr>
          <w:rFonts w:ascii="Times New Roman" w:hAnsi="Times New Roman"/>
          <w:sz w:val="24"/>
          <w:szCs w:val="24"/>
          <w:lang w:val="lv-LV"/>
        </w:rPr>
        <w:t>Ja ģimenes ārsta prakses medicīniskajā dokumentācij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C1335E">
        <w:rPr>
          <w:rFonts w:ascii="Times New Roman" w:hAnsi="Times New Roman"/>
          <w:sz w:val="24"/>
          <w:szCs w:val="24"/>
          <w:lang w:val="lv-LV"/>
        </w:rPr>
        <w:t xml:space="preserve"> nav informācijas par pacienta vakcinācijas statusu pret attiecīgo slimību, šādu pacientu neieskaita nedz vakcinēto, nedz nevakcinēto personu skaitā. </w:t>
      </w:r>
      <w:r w:rsidRPr="00DC194A">
        <w:rPr>
          <w:rFonts w:ascii="Times New Roman" w:hAnsi="Times New Roman"/>
          <w:sz w:val="24"/>
          <w:szCs w:val="24"/>
          <w:u w:val="single"/>
          <w:lang w:val="lv-LV"/>
        </w:rPr>
        <w:t>Līdz ar to starpība starp reģistrēto pacientu skaitu un vakcinēto/nevakcinēto pacientu kopskaitu norādīs uz pacientu skaitu, kuru vakcinācijas statuss ārstam nav zināms</w:t>
      </w:r>
      <w:r w:rsidRPr="00C1335E">
        <w:rPr>
          <w:rFonts w:ascii="Times New Roman" w:hAnsi="Times New Roman"/>
          <w:sz w:val="24"/>
          <w:szCs w:val="24"/>
          <w:lang w:val="lv-LV"/>
        </w:rPr>
        <w:t>.</w:t>
      </w:r>
    </w:p>
    <w:p w14:paraId="16C82CDB" w14:textId="77777777" w:rsidR="00BF52C9" w:rsidRPr="00C1335E" w:rsidRDefault="00BF52C9" w:rsidP="00BF52C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1335E">
        <w:rPr>
          <w:rFonts w:ascii="Times New Roman" w:hAnsi="Times New Roman"/>
          <w:b/>
          <w:i/>
          <w:sz w:val="24"/>
          <w:szCs w:val="24"/>
          <w:lang w:val="lv-LV"/>
        </w:rPr>
        <w:t>Piemērs: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 xml:space="preserve"> Ģimenes ārsta praksē reģistrēti 999 pacienti vecumā no 25 gadiem 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lastRenderedPageBreak/>
        <w:t>(3.aile), no tiem 600 pēdējo 10 gadu laikā ir saņēmusi 3.poti vai balstvakcināciju pret difteriju un stingumkrampjiem (4.aile), bet 300 nav vakcinēti (</w:t>
      </w:r>
      <w:r>
        <w:rPr>
          <w:rFonts w:ascii="Times New Roman" w:hAnsi="Times New Roman"/>
          <w:i/>
          <w:sz w:val="24"/>
          <w:szCs w:val="24"/>
          <w:lang w:val="lv-LV"/>
        </w:rPr>
        <w:t>5</w:t>
      </w:r>
      <w:r w:rsidRPr="00C1335E">
        <w:rPr>
          <w:rFonts w:ascii="Times New Roman" w:hAnsi="Times New Roman"/>
          <w:i/>
          <w:sz w:val="24"/>
          <w:szCs w:val="24"/>
          <w:lang w:val="lv-LV"/>
        </w:rPr>
        <w:t>.-8. aile), tad jāsecina, ka par 99 pacientu vakcinācijas statusu ģimenes ārstam nav datu:</w:t>
      </w:r>
    </w:p>
    <w:p w14:paraId="186D9A83" w14:textId="77777777" w:rsidR="00BF52C9" w:rsidRPr="00EC0579" w:rsidRDefault="00BF52C9" w:rsidP="00BF52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271"/>
        <w:gridCol w:w="1843"/>
        <w:gridCol w:w="1134"/>
        <w:gridCol w:w="851"/>
        <w:gridCol w:w="1134"/>
        <w:gridCol w:w="1134"/>
        <w:gridCol w:w="815"/>
      </w:tblGrid>
      <w:tr w:rsidR="00BF52C9" w:rsidRPr="006B5091" w14:paraId="5AD78A20" w14:textId="77777777" w:rsidTr="00EF46F0">
        <w:tc>
          <w:tcPr>
            <w:tcW w:w="1105" w:type="dxa"/>
            <w:vMerge w:val="restart"/>
            <w:shd w:val="clear" w:color="auto" w:fill="auto"/>
          </w:tcPr>
          <w:p w14:paraId="3FCD5BF9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Vecums</w:t>
            </w:r>
          </w:p>
        </w:tc>
        <w:tc>
          <w:tcPr>
            <w:tcW w:w="1271" w:type="dxa"/>
            <w:vMerge w:val="restart"/>
            <w:shd w:val="clear" w:color="auto" w:fill="auto"/>
          </w:tcPr>
          <w:p w14:paraId="444E24C4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Vakcinācija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E54DB8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Reģistrēto pacientu skaits (ģimenes ārsta praksē pierakstīto pacientu skaits decembra pēdējā nedēļā)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E34F80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Vakcinēto</w:t>
            </w:r>
          </w:p>
          <w:p w14:paraId="0A6DE288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pacientu</w:t>
            </w:r>
          </w:p>
          <w:p w14:paraId="349826CA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skaits</w:t>
            </w:r>
          </w:p>
        </w:tc>
        <w:tc>
          <w:tcPr>
            <w:tcW w:w="3934" w:type="dxa"/>
            <w:gridSpan w:val="4"/>
            <w:shd w:val="clear" w:color="auto" w:fill="auto"/>
          </w:tcPr>
          <w:p w14:paraId="4C14F3BD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Nevakcinēto pacientu skaits</w:t>
            </w:r>
          </w:p>
        </w:tc>
      </w:tr>
      <w:tr w:rsidR="00BF52C9" w:rsidRPr="006B5091" w14:paraId="6D22489E" w14:textId="77777777" w:rsidTr="00EF46F0">
        <w:tc>
          <w:tcPr>
            <w:tcW w:w="1105" w:type="dxa"/>
            <w:vMerge/>
            <w:shd w:val="clear" w:color="auto" w:fill="auto"/>
          </w:tcPr>
          <w:p w14:paraId="19DAE01E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7CD4A75A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251A57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02BC8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4C8FFE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pār-slimoja</w:t>
            </w:r>
          </w:p>
        </w:tc>
        <w:tc>
          <w:tcPr>
            <w:tcW w:w="1134" w:type="dxa"/>
            <w:shd w:val="clear" w:color="auto" w:fill="auto"/>
          </w:tcPr>
          <w:p w14:paraId="293CD253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kontr-indikācijas</w:t>
            </w:r>
          </w:p>
        </w:tc>
        <w:tc>
          <w:tcPr>
            <w:tcW w:w="1134" w:type="dxa"/>
            <w:shd w:val="clear" w:color="auto" w:fill="auto"/>
          </w:tcPr>
          <w:p w14:paraId="1D5D85D5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rakstiski</w:t>
            </w:r>
          </w:p>
          <w:p w14:paraId="27E40164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noformēts</w:t>
            </w:r>
          </w:p>
          <w:p w14:paraId="711617F7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atteikums</w:t>
            </w:r>
          </w:p>
        </w:tc>
        <w:tc>
          <w:tcPr>
            <w:tcW w:w="815" w:type="dxa"/>
            <w:shd w:val="clear" w:color="auto" w:fill="auto"/>
          </w:tcPr>
          <w:p w14:paraId="77A2593C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cits</w:t>
            </w:r>
          </w:p>
          <w:p w14:paraId="2A465267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iemesls</w:t>
            </w:r>
          </w:p>
          <w:p w14:paraId="66D3F9C8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F52C9" w:rsidRPr="006B5091" w14:paraId="368CEE26" w14:textId="77777777" w:rsidTr="00EF46F0">
        <w:tc>
          <w:tcPr>
            <w:tcW w:w="1105" w:type="dxa"/>
            <w:shd w:val="clear" w:color="auto" w:fill="auto"/>
          </w:tcPr>
          <w:p w14:paraId="5748C2DE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1D68A707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2DC6BFE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D27CECE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B35A561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4164D7C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A76052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14:paraId="7E26EE32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BF52C9" w:rsidRPr="006B5091" w14:paraId="0AD94DC7" w14:textId="77777777" w:rsidTr="00EF46F0">
        <w:tc>
          <w:tcPr>
            <w:tcW w:w="1105" w:type="dxa"/>
            <w:shd w:val="clear" w:color="auto" w:fill="auto"/>
          </w:tcPr>
          <w:p w14:paraId="5798F68E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Pieaugušie 25 gadi un</w:t>
            </w:r>
          </w:p>
          <w:p w14:paraId="22377BC1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vecāki</w:t>
            </w:r>
          </w:p>
        </w:tc>
        <w:tc>
          <w:tcPr>
            <w:tcW w:w="1271" w:type="dxa"/>
            <w:shd w:val="clear" w:color="auto" w:fill="auto"/>
          </w:tcPr>
          <w:p w14:paraId="4593709B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Difterija un stinguma krampji 3. pote vai balst-vakcinācija</w:t>
            </w:r>
          </w:p>
        </w:tc>
        <w:tc>
          <w:tcPr>
            <w:tcW w:w="1843" w:type="dxa"/>
            <w:shd w:val="clear" w:color="auto" w:fill="auto"/>
          </w:tcPr>
          <w:p w14:paraId="4453CDD0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</w:tcPr>
          <w:p w14:paraId="5E0B86CB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14:paraId="7B3EF89A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D42A80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B6F4266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815" w:type="dxa"/>
            <w:shd w:val="clear" w:color="auto" w:fill="auto"/>
          </w:tcPr>
          <w:p w14:paraId="16530AFD" w14:textId="77777777" w:rsidR="00BF52C9" w:rsidRPr="006B5091" w:rsidRDefault="00BF52C9" w:rsidP="00EF4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5091">
              <w:rPr>
                <w:rFonts w:ascii="Times New Roman" w:hAnsi="Times New Roman"/>
                <w:i/>
                <w:sz w:val="20"/>
                <w:szCs w:val="20"/>
              </w:rPr>
              <w:t>245</w:t>
            </w:r>
          </w:p>
        </w:tc>
      </w:tr>
    </w:tbl>
    <w:p w14:paraId="4D8971CE" w14:textId="77777777" w:rsidR="00BF52C9" w:rsidRPr="00C1335E" w:rsidRDefault="00BF52C9" w:rsidP="00BF52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FD39D" w14:textId="4C941D94" w:rsidR="00BF52C9" w:rsidRDefault="00DC194A" w:rsidP="00BF52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4CD36" wp14:editId="0066DA4B">
                <wp:simplePos x="0" y="0"/>
                <wp:positionH relativeFrom="column">
                  <wp:posOffset>2853690</wp:posOffset>
                </wp:positionH>
                <wp:positionV relativeFrom="paragraph">
                  <wp:posOffset>424815</wp:posOffset>
                </wp:positionV>
                <wp:extent cx="142875" cy="19050"/>
                <wp:effectExtent l="0" t="57150" r="28575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3BA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4.7pt;margin-top:33.45pt;width:11.2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" strokecolor="black [3040]">
                <v:stroke endarrow="block"/>
              </v:shape>
            </w:pict>
          </mc:Fallback>
        </mc:AlternateContent>
      </w:r>
      <w:r w:rsidR="00BF52C9" w:rsidRPr="00C1335E">
        <w:rPr>
          <w:rFonts w:ascii="Times New Roman" w:hAnsi="Times New Roman"/>
          <w:sz w:val="24"/>
          <w:szCs w:val="24"/>
        </w:rPr>
        <w:t xml:space="preserve">Vēršam Jūsu uzmanību, ka veidlapa „Pārskats par vakcinācijas kalendāra ietvaros vakcinētajām personām” </w:t>
      </w:r>
      <w:r w:rsidR="00BF52C9" w:rsidRPr="006B5091">
        <w:rPr>
          <w:rFonts w:ascii="Times New Roman" w:hAnsi="Times New Roman"/>
          <w:i/>
          <w:sz w:val="24"/>
          <w:szCs w:val="24"/>
        </w:rPr>
        <w:t>MS Word</w:t>
      </w:r>
      <w:r w:rsidR="00BF52C9" w:rsidRPr="00C1335E">
        <w:rPr>
          <w:rFonts w:ascii="Times New Roman" w:hAnsi="Times New Roman"/>
          <w:sz w:val="24"/>
          <w:szCs w:val="24"/>
        </w:rPr>
        <w:t xml:space="preserve"> formātā ir pieejama SPKC mājas lapā</w:t>
      </w:r>
      <w:r w:rsidR="00BF52C9">
        <w:rPr>
          <w:rFonts w:ascii="Times New Roman" w:hAnsi="Times New Roman"/>
          <w:sz w:val="24"/>
          <w:szCs w:val="24"/>
        </w:rPr>
        <w:t>,</w:t>
      </w:r>
      <w:r w:rsidR="00BF52C9" w:rsidRPr="00C1335E">
        <w:rPr>
          <w:rFonts w:ascii="Times New Roman" w:hAnsi="Times New Roman"/>
          <w:sz w:val="24"/>
          <w:szCs w:val="24"/>
        </w:rPr>
        <w:t xml:space="preserve"> sadaļā „</w:t>
      </w:r>
      <w:r w:rsidR="00BF52C9">
        <w:rPr>
          <w:rFonts w:ascii="Times New Roman" w:hAnsi="Times New Roman"/>
          <w:sz w:val="24"/>
          <w:szCs w:val="24"/>
        </w:rPr>
        <w:t>Profesionāļiem</w:t>
      </w:r>
      <w:r w:rsidR="00BF52C9" w:rsidRPr="00C1335E">
        <w:rPr>
          <w:rFonts w:ascii="Times New Roman" w:hAnsi="Times New Roman"/>
          <w:sz w:val="24"/>
          <w:szCs w:val="24"/>
        </w:rPr>
        <w:t>”, apakšsadaļā „</w:t>
      </w:r>
      <w:r w:rsidR="00BF52C9">
        <w:rPr>
          <w:rFonts w:ascii="Times New Roman" w:hAnsi="Times New Roman"/>
          <w:sz w:val="24"/>
          <w:szCs w:val="24"/>
        </w:rPr>
        <w:t>V</w:t>
      </w:r>
      <w:r w:rsidR="00BF52C9" w:rsidRPr="00C1335E">
        <w:rPr>
          <w:rFonts w:ascii="Times New Roman" w:hAnsi="Times New Roman"/>
          <w:sz w:val="24"/>
          <w:szCs w:val="24"/>
        </w:rPr>
        <w:t>akcinācij</w:t>
      </w:r>
      <w:r w:rsidR="00BF52C9">
        <w:rPr>
          <w:rFonts w:ascii="Times New Roman" w:hAnsi="Times New Roman"/>
          <w:sz w:val="24"/>
          <w:szCs w:val="24"/>
        </w:rPr>
        <w:t>a</w:t>
      </w:r>
      <w:r w:rsidR="00BF52C9" w:rsidRPr="00C1335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C194A">
        <w:rPr>
          <w:rFonts w:ascii="Times New Roman" w:hAnsi="Times New Roman"/>
          <w:i/>
          <w:iCs/>
          <w:sz w:val="24"/>
          <w:szCs w:val="24"/>
        </w:rPr>
        <w:t>Veidlapas vakcinācijas rezultātu uzskaitei un vakcīnu pasūtījumiem</w:t>
      </w:r>
      <w:r w:rsidR="00BF52C9" w:rsidRPr="00C1335E">
        <w:rPr>
          <w:rFonts w:ascii="Times New Roman" w:hAnsi="Times New Roman"/>
          <w:sz w:val="24"/>
          <w:szCs w:val="24"/>
        </w:rPr>
        <w:t>:</w:t>
      </w:r>
      <w:r w:rsidR="00BF52C9">
        <w:rPr>
          <w:rFonts w:ascii="Times New Roman" w:hAnsi="Times New Roman"/>
          <w:sz w:val="24"/>
          <w:szCs w:val="24"/>
        </w:rPr>
        <w:t xml:space="preserve"> </w:t>
      </w:r>
    </w:p>
    <w:p w14:paraId="21C5F778" w14:textId="77777777" w:rsidR="00BF52C9" w:rsidRPr="00C1335E" w:rsidRDefault="00821F2F" w:rsidP="00BF5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BF52C9" w:rsidRPr="00851A84">
          <w:rPr>
            <w:rStyle w:val="Hyperlink"/>
            <w:rFonts w:ascii="Times New Roman" w:hAnsi="Times New Roman"/>
            <w:sz w:val="24"/>
            <w:szCs w:val="24"/>
          </w:rPr>
          <w:t>https://www.spkc.gov.lv/lv/profesionali/infekcijas-slimibas1/par-vakcinaciju</w:t>
        </w:r>
      </w:hyperlink>
      <w:r w:rsidR="00BF52C9">
        <w:rPr>
          <w:rFonts w:ascii="Times New Roman" w:hAnsi="Times New Roman"/>
          <w:sz w:val="24"/>
          <w:szCs w:val="24"/>
        </w:rPr>
        <w:t xml:space="preserve"> </w:t>
      </w:r>
    </w:p>
    <w:p w14:paraId="42B36A5F" w14:textId="77777777" w:rsidR="00BF52C9" w:rsidRDefault="00BF52C9" w:rsidP="00771BCA">
      <w:pPr>
        <w:spacing w:after="0" w:line="240" w:lineRule="auto"/>
        <w:jc w:val="center"/>
        <w:rPr>
          <w:rFonts w:ascii="Times New Roman" w:hAnsi="Times New Roman"/>
        </w:rPr>
      </w:pPr>
    </w:p>
    <w:p w14:paraId="780485B1" w14:textId="77777777" w:rsidR="00BF52C9" w:rsidRPr="00BF52C9" w:rsidRDefault="00BF52C9" w:rsidP="00BF52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2C9">
        <w:rPr>
          <w:rFonts w:ascii="Times New Roman" w:hAnsi="Times New Roman"/>
          <w:sz w:val="24"/>
          <w:szCs w:val="24"/>
        </w:rPr>
        <w:t>Iepriekš pateicamies par sadarbību un ceram, ka Jūs izmantosiet apkopoto informāciju imunizācijas aptveres izvērtēšanai Jūsu prakses pacientiem</w:t>
      </w:r>
      <w:r w:rsidR="001173A6">
        <w:rPr>
          <w:rFonts w:ascii="Times New Roman" w:hAnsi="Times New Roman"/>
          <w:sz w:val="24"/>
          <w:szCs w:val="24"/>
        </w:rPr>
        <w:t>, tajā skaitā</w:t>
      </w:r>
      <w:r w:rsidRPr="00BF52C9">
        <w:rPr>
          <w:rFonts w:ascii="Times New Roman" w:hAnsi="Times New Roman"/>
          <w:sz w:val="24"/>
          <w:szCs w:val="24"/>
        </w:rPr>
        <w:t xml:space="preserve"> salīdzināšanai ar iepriek</w:t>
      </w:r>
      <w:r w:rsidR="001173A6">
        <w:rPr>
          <w:rFonts w:ascii="Times New Roman" w:hAnsi="Times New Roman"/>
          <w:sz w:val="24"/>
          <w:szCs w:val="24"/>
        </w:rPr>
        <w:t>šējā gada vakcinācijas aptveri,</w:t>
      </w:r>
      <w:r w:rsidRPr="00BF52C9">
        <w:rPr>
          <w:rFonts w:ascii="Times New Roman" w:hAnsi="Times New Roman"/>
          <w:sz w:val="24"/>
          <w:szCs w:val="24"/>
        </w:rPr>
        <w:t xml:space="preserve"> </w:t>
      </w:r>
      <w:r w:rsidR="001173A6">
        <w:rPr>
          <w:rFonts w:ascii="Times New Roman" w:hAnsi="Times New Roman"/>
          <w:sz w:val="24"/>
          <w:szCs w:val="24"/>
        </w:rPr>
        <w:t>nevakcinēto personu vakcināciju</w:t>
      </w:r>
      <w:r w:rsidRPr="00BF52C9">
        <w:rPr>
          <w:rFonts w:ascii="Times New Roman" w:hAnsi="Times New Roman"/>
          <w:sz w:val="24"/>
          <w:szCs w:val="24"/>
        </w:rPr>
        <w:t xml:space="preserve"> kavējošo faktoru analīzei un nepieciešamo pasākumu veikšanai, lai uzlabotu imunizācijas rādītājus.</w:t>
      </w:r>
    </w:p>
    <w:p w14:paraId="6089C691" w14:textId="77777777" w:rsidR="00BF52C9" w:rsidRDefault="00BF52C9" w:rsidP="00771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141C5" w14:textId="77777777" w:rsidR="004312B9" w:rsidRPr="00771BCA" w:rsidRDefault="004312B9" w:rsidP="00771BCA"/>
    <w:sectPr w:rsidR="004312B9" w:rsidRPr="00771BCA" w:rsidSect="00771BCA">
      <w:footerReference w:type="default" r:id="rId8"/>
      <w:headerReference w:type="first" r:id="rId9"/>
      <w:pgSz w:w="11920" w:h="16840"/>
      <w:pgMar w:top="1134" w:right="114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2E8D" w14:textId="77777777" w:rsidR="001638B1" w:rsidRDefault="001638B1" w:rsidP="00771BCA">
      <w:pPr>
        <w:spacing w:after="0" w:line="240" w:lineRule="auto"/>
      </w:pPr>
      <w:r>
        <w:separator/>
      </w:r>
    </w:p>
  </w:endnote>
  <w:endnote w:type="continuationSeparator" w:id="0">
    <w:p w14:paraId="6F3A8999" w14:textId="77777777" w:rsidR="001638B1" w:rsidRDefault="001638B1" w:rsidP="0077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13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56262" w14:textId="77777777" w:rsidR="00B92232" w:rsidRDefault="00771B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C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7BFA9B" w14:textId="77777777" w:rsidR="009A17E1" w:rsidRDefault="00821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298D" w14:textId="77777777" w:rsidR="001638B1" w:rsidRDefault="001638B1" w:rsidP="00771BCA">
      <w:pPr>
        <w:spacing w:after="0" w:line="240" w:lineRule="auto"/>
      </w:pPr>
      <w:r>
        <w:separator/>
      </w:r>
    </w:p>
  </w:footnote>
  <w:footnote w:type="continuationSeparator" w:id="0">
    <w:p w14:paraId="0897F5CF" w14:textId="77777777" w:rsidR="001638B1" w:rsidRDefault="001638B1" w:rsidP="0077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6AAF" w14:textId="77777777" w:rsidR="002F6CC3" w:rsidRDefault="00821F2F" w:rsidP="006438DB">
    <w:pPr>
      <w:pStyle w:val="Header"/>
      <w:rPr>
        <w:rFonts w:ascii="Times New Roman" w:hAnsi="Times New Roman"/>
      </w:rPr>
    </w:pPr>
  </w:p>
  <w:p w14:paraId="1FAFB273" w14:textId="77777777" w:rsidR="002F6CC3" w:rsidRDefault="00821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5F1E"/>
    <w:multiLevelType w:val="hybridMultilevel"/>
    <w:tmpl w:val="B21A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CA"/>
    <w:rsid w:val="000204B8"/>
    <w:rsid w:val="00034E0D"/>
    <w:rsid w:val="00056F22"/>
    <w:rsid w:val="000F6CAE"/>
    <w:rsid w:val="001173A6"/>
    <w:rsid w:val="00157014"/>
    <w:rsid w:val="001638B1"/>
    <w:rsid w:val="002102A5"/>
    <w:rsid w:val="00355ED1"/>
    <w:rsid w:val="003A2100"/>
    <w:rsid w:val="003B1D9D"/>
    <w:rsid w:val="004312B9"/>
    <w:rsid w:val="00464CAE"/>
    <w:rsid w:val="00471D4E"/>
    <w:rsid w:val="004A783A"/>
    <w:rsid w:val="005340ED"/>
    <w:rsid w:val="005B40DC"/>
    <w:rsid w:val="006A3381"/>
    <w:rsid w:val="00723660"/>
    <w:rsid w:val="00745E99"/>
    <w:rsid w:val="00771BCA"/>
    <w:rsid w:val="007D1E94"/>
    <w:rsid w:val="00821F2F"/>
    <w:rsid w:val="00886D2A"/>
    <w:rsid w:val="008E51FC"/>
    <w:rsid w:val="008F4503"/>
    <w:rsid w:val="00A56A23"/>
    <w:rsid w:val="00AC7F4D"/>
    <w:rsid w:val="00B141CA"/>
    <w:rsid w:val="00BA09F1"/>
    <w:rsid w:val="00BF52C9"/>
    <w:rsid w:val="00D81F55"/>
    <w:rsid w:val="00D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6807"/>
  <w15:docId w15:val="{5062626C-61FA-43BE-9238-FB3493CD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B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1BC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1B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1BCA"/>
    <w:rPr>
      <w:rFonts w:ascii="Calibri" w:eastAsia="Calibri" w:hAnsi="Calibri" w:cs="Times New Roman"/>
      <w:lang w:val="en-US"/>
    </w:rPr>
  </w:style>
  <w:style w:type="character" w:styleId="Hyperlink">
    <w:name w:val="Hyperlink"/>
    <w:unhideWhenUsed/>
    <w:rsid w:val="00771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2C9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6C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pkc.gov.lv/lv/profesionali/infekcijas-slimibas1/par-vakcinaci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Mihalovska</dc:creator>
  <cp:lastModifiedBy>Linda Krauze</cp:lastModifiedBy>
  <cp:revision>5</cp:revision>
  <cp:lastPrinted>2016-12-09T07:47:00Z</cp:lastPrinted>
  <dcterms:created xsi:type="dcterms:W3CDTF">2022-12-16T11:02:00Z</dcterms:created>
  <dcterms:modified xsi:type="dcterms:W3CDTF">2022-12-22T08:53:00Z</dcterms:modified>
</cp:coreProperties>
</file>